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FB19EE" w14:textId="5C9F0D4C" w:rsidR="00D47322" w:rsidRDefault="006A45F1" w:rsidP="008241D9">
      <w:pPr>
        <w:pStyle w:val="Zkladntext"/>
        <w:jc w:val="right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3ED7DD04" wp14:editId="7A46B027">
                <wp:simplePos x="0" y="0"/>
                <wp:positionH relativeFrom="page">
                  <wp:posOffset>5518785</wp:posOffset>
                </wp:positionH>
                <wp:positionV relativeFrom="paragraph">
                  <wp:posOffset>116840</wp:posOffset>
                </wp:positionV>
                <wp:extent cx="1141095" cy="527685"/>
                <wp:effectExtent l="3810" t="1270" r="762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527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</w:tblGrid>
                            <w:tr w:rsidR="00D47322" w14:paraId="3BBB4E70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14:paraId="24B2EE8F" w14:textId="21DE9F5B" w:rsidR="00F97332" w:rsidRDefault="00F9733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14:paraId="7F76B2D8" w14:textId="77777777"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14:paraId="07B812F1" w14:textId="77777777"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BBD02F2" w14:textId="77777777" w:rsidR="00D47322" w:rsidRDefault="00D473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7D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5pt;margin-top:9.2pt;width:89.85pt;height:41.5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k0iwIAABw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</w:tblGrid>
                      <w:tr w:rsidR="00D47322" w14:paraId="3BBB4E70" w14:textId="77777777">
                        <w:trPr>
                          <w:trHeight w:val="832"/>
                        </w:trPr>
                        <w:tc>
                          <w:tcPr>
                            <w:tcW w:w="1798" w:type="dxa"/>
                            <w:shd w:val="clear" w:color="auto" w:fill="auto"/>
                          </w:tcPr>
                          <w:p w14:paraId="24B2EE8F" w14:textId="21DE9F5B" w:rsidR="00F97332" w:rsidRDefault="00F97332">
                            <w:pPr>
                              <w:pStyle w:val="Obsahtabulky"/>
                              <w:snapToGrid w:val="0"/>
                            </w:pPr>
                          </w:p>
                          <w:p w14:paraId="7F76B2D8" w14:textId="77777777"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  <w:p w14:paraId="07B812F1" w14:textId="77777777"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</w:tc>
                      </w:tr>
                    </w:tbl>
                    <w:p w14:paraId="1BBD02F2" w14:textId="77777777" w:rsidR="00D47322" w:rsidRDefault="00D4732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41D9">
        <w:t>PS200376316</w:t>
      </w:r>
    </w:p>
    <w:p w14:paraId="321EA6CA" w14:textId="77777777" w:rsidR="00D47322" w:rsidRDefault="00D47322">
      <w:pPr>
        <w:pStyle w:val="Zkladntext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7322" w14:paraId="6A224FD1" w14:textId="77777777" w:rsidTr="00A1508C">
        <w:tc>
          <w:tcPr>
            <w:tcW w:w="9212" w:type="dxa"/>
            <w:gridSpan w:val="2"/>
            <w:shd w:val="clear" w:color="auto" w:fill="auto"/>
          </w:tcPr>
          <w:p w14:paraId="5CF15970" w14:textId="77777777" w:rsidR="00D47322" w:rsidRDefault="00D47322">
            <w:pPr>
              <w:jc w:val="center"/>
            </w:pPr>
            <w:r>
              <w:rPr>
                <w:b/>
                <w:i/>
              </w:rPr>
              <w:t>Parlament České republiky</w:t>
            </w:r>
          </w:p>
          <w:p w14:paraId="32011786" w14:textId="77777777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POSLANECKÁ SNĚMOVNA</w:t>
            </w:r>
          </w:p>
          <w:p w14:paraId="6EF0307D" w14:textId="1971D50D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734952">
              <w:rPr>
                <w:b/>
                <w:i/>
                <w:sz w:val="36"/>
              </w:rPr>
              <w:t>2</w:t>
            </w:r>
            <w:r w:rsidR="00BB1BD3">
              <w:rPr>
                <w:b/>
                <w:i/>
                <w:sz w:val="36"/>
              </w:rPr>
              <w:t>4</w:t>
            </w:r>
          </w:p>
          <w:p w14:paraId="0F813030" w14:textId="77777777" w:rsidR="00D47322" w:rsidRDefault="00404AA4">
            <w:pPr>
              <w:jc w:val="center"/>
            </w:pPr>
            <w:r>
              <w:rPr>
                <w:b/>
                <w:i/>
              </w:rPr>
              <w:t>9</w:t>
            </w:r>
            <w:r w:rsidR="00D47322">
              <w:rPr>
                <w:b/>
                <w:i/>
              </w:rPr>
              <w:t>. volební období</w:t>
            </w:r>
          </w:p>
        </w:tc>
      </w:tr>
      <w:tr w:rsidR="00D47322" w14:paraId="255BDA0A" w14:textId="77777777" w:rsidTr="00A1508C">
        <w:tc>
          <w:tcPr>
            <w:tcW w:w="9212" w:type="dxa"/>
            <w:gridSpan w:val="2"/>
            <w:shd w:val="clear" w:color="auto" w:fill="auto"/>
          </w:tcPr>
          <w:p w14:paraId="415CEF79" w14:textId="77777777" w:rsidR="00D47322" w:rsidRDefault="00D47322">
            <w:pPr>
              <w:snapToGrid w:val="0"/>
              <w:jc w:val="center"/>
              <w:rPr>
                <w:b/>
                <w:i/>
                <w:sz w:val="32"/>
              </w:rPr>
            </w:pPr>
          </w:p>
        </w:tc>
      </w:tr>
      <w:tr w:rsidR="00D47322" w14:paraId="560C92A5" w14:textId="77777777" w:rsidTr="00A1508C">
        <w:trPr>
          <w:trHeight w:val="439"/>
        </w:trPr>
        <w:tc>
          <w:tcPr>
            <w:tcW w:w="9212" w:type="dxa"/>
            <w:gridSpan w:val="2"/>
            <w:shd w:val="clear" w:color="auto" w:fill="auto"/>
          </w:tcPr>
          <w:p w14:paraId="4FC86662" w14:textId="77777777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 O Z V Á N K A</w:t>
            </w:r>
          </w:p>
        </w:tc>
      </w:tr>
      <w:tr w:rsidR="00D47322" w14:paraId="25CB6BD5" w14:textId="77777777" w:rsidTr="00A1508C">
        <w:tc>
          <w:tcPr>
            <w:tcW w:w="9212" w:type="dxa"/>
            <w:gridSpan w:val="2"/>
            <w:shd w:val="clear" w:color="auto" w:fill="auto"/>
            <w:vAlign w:val="center"/>
          </w:tcPr>
          <w:p w14:paraId="3B62A400" w14:textId="77777777" w:rsidR="00D47322" w:rsidRDefault="00D47322">
            <w:pPr>
              <w:snapToGrid w:val="0"/>
              <w:jc w:val="center"/>
              <w:rPr>
                <w:b/>
                <w:i/>
              </w:rPr>
            </w:pPr>
          </w:p>
          <w:p w14:paraId="523A6898" w14:textId="0FFBCF8B" w:rsidR="00D47322" w:rsidRDefault="00D47322" w:rsidP="00773489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na </w:t>
            </w:r>
            <w:r w:rsidR="00BB1BD3">
              <w:rPr>
                <w:b/>
                <w:i/>
              </w:rPr>
              <w:t>9</w:t>
            </w:r>
            <w:r w:rsidR="00EE5A5C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schůzi</w:t>
            </w:r>
          </w:p>
        </w:tc>
      </w:tr>
      <w:tr w:rsidR="00D47322" w14:paraId="2559C4D0" w14:textId="77777777" w:rsidTr="00A1508C">
        <w:trPr>
          <w:trHeight w:val="679"/>
        </w:trPr>
        <w:tc>
          <w:tcPr>
            <w:tcW w:w="9212" w:type="dxa"/>
            <w:gridSpan w:val="2"/>
            <w:shd w:val="clear" w:color="auto" w:fill="auto"/>
          </w:tcPr>
          <w:p w14:paraId="07F49157" w14:textId="77777777" w:rsidR="00D47322" w:rsidRDefault="00D47322">
            <w:pPr>
              <w:spacing w:line="360" w:lineRule="auto"/>
              <w:jc w:val="center"/>
            </w:pPr>
            <w:r>
              <w:rPr>
                <w:b/>
                <w:i/>
              </w:rPr>
              <w:t>podvýboru ústavně</w:t>
            </w:r>
            <w:r w:rsidR="00404AA4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 xml:space="preserve"> právního výboru pro </w:t>
            </w:r>
            <w:r w:rsidR="00734952">
              <w:rPr>
                <w:b/>
                <w:i/>
              </w:rPr>
              <w:t>justici</w:t>
            </w:r>
            <w:r>
              <w:rPr>
                <w:b/>
                <w:i/>
              </w:rPr>
              <w:t>,</w:t>
            </w:r>
          </w:p>
          <w:p w14:paraId="4C786A9B" w14:textId="3B7637C8" w:rsidR="00D47322" w:rsidRDefault="00AD21BD">
            <w:pPr>
              <w:spacing w:line="360" w:lineRule="auto"/>
              <w:jc w:val="center"/>
            </w:pPr>
            <w:r>
              <w:rPr>
                <w:b/>
                <w:i/>
              </w:rPr>
              <w:t>která se koná v</w:t>
            </w:r>
            <w:r w:rsidR="009867A8">
              <w:rPr>
                <w:b/>
                <w:i/>
              </w:rPr>
              <w:t> úterý dne</w:t>
            </w:r>
            <w:r w:rsidR="00F91744">
              <w:rPr>
                <w:b/>
                <w:i/>
              </w:rPr>
              <w:t xml:space="preserve"> </w:t>
            </w:r>
            <w:r w:rsidR="004C26A9">
              <w:rPr>
                <w:b/>
                <w:i/>
              </w:rPr>
              <w:t>1</w:t>
            </w:r>
            <w:r w:rsidR="00BB1BD3">
              <w:rPr>
                <w:b/>
                <w:i/>
              </w:rPr>
              <w:t>3</w:t>
            </w:r>
            <w:r w:rsidR="00F91744">
              <w:rPr>
                <w:b/>
                <w:i/>
              </w:rPr>
              <w:t>.</w:t>
            </w:r>
            <w:r w:rsidR="00BB1BD3">
              <w:rPr>
                <w:b/>
                <w:i/>
              </w:rPr>
              <w:t xml:space="preserve"> února</w:t>
            </w:r>
            <w:r w:rsidR="00F91744">
              <w:rPr>
                <w:b/>
                <w:i/>
              </w:rPr>
              <w:t xml:space="preserve"> </w:t>
            </w:r>
            <w:r w:rsidR="00404AA4">
              <w:rPr>
                <w:b/>
                <w:i/>
              </w:rPr>
              <w:t>202</w:t>
            </w:r>
            <w:r w:rsidR="00BB1BD3">
              <w:rPr>
                <w:b/>
                <w:i/>
              </w:rPr>
              <w:t>4</w:t>
            </w:r>
          </w:p>
          <w:p w14:paraId="429E9865" w14:textId="1A9F5D21" w:rsidR="00D47322" w:rsidRDefault="00D47322" w:rsidP="00EE5A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od </w:t>
            </w:r>
            <w:r w:rsidR="00773489">
              <w:rPr>
                <w:b/>
                <w:i/>
              </w:rPr>
              <w:t>1</w:t>
            </w:r>
            <w:r w:rsidR="00BB1BD3">
              <w:rPr>
                <w:b/>
                <w:i/>
              </w:rPr>
              <w:t>3</w:t>
            </w:r>
            <w:r w:rsidR="00F91744">
              <w:rPr>
                <w:b/>
                <w:i/>
              </w:rPr>
              <w:t>:</w:t>
            </w:r>
            <w:r w:rsidR="00BB1BD3">
              <w:rPr>
                <w:b/>
                <w:i/>
              </w:rPr>
              <w:t>0</w:t>
            </w:r>
            <w:r w:rsidR="00EE5A5C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hodin  </w:t>
            </w:r>
          </w:p>
          <w:p w14:paraId="59493D98" w14:textId="77777777" w:rsidR="005D24D3" w:rsidRDefault="005D24D3" w:rsidP="00EE5A5C">
            <w:pPr>
              <w:jc w:val="center"/>
              <w:rPr>
                <w:b/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EE5A5C" w14:paraId="00CF6ACC" w14:textId="77777777" w:rsidTr="00DC618A">
              <w:tc>
                <w:tcPr>
                  <w:tcW w:w="921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9CCE76D" w14:textId="77777777" w:rsidR="00EE5A5C" w:rsidRDefault="00EE5A5C" w:rsidP="00EE5A5C">
                  <w:pPr>
                    <w:jc w:val="center"/>
                  </w:pPr>
                  <w:r>
                    <w:t xml:space="preserve">(jednání podvýboru je podle § 44 odst. 3 zákona o jednacím řádu </w:t>
                  </w:r>
                </w:p>
                <w:p w14:paraId="74D7406C" w14:textId="77777777" w:rsidR="00EE5A5C" w:rsidRDefault="00EE5A5C" w:rsidP="00EE5A5C">
                  <w:pPr>
                    <w:jc w:val="center"/>
                  </w:pPr>
                  <w:r>
                    <w:t>Poslanecké sněmovny neveřejné)</w:t>
                  </w:r>
                </w:p>
              </w:tc>
            </w:tr>
          </w:tbl>
          <w:p w14:paraId="3040B574" w14:textId="77777777" w:rsidR="00EE5A5C" w:rsidRDefault="00EE5A5C" w:rsidP="00EE5A5C">
            <w:pPr>
              <w:jc w:val="center"/>
            </w:pPr>
          </w:p>
          <w:p w14:paraId="3D7DF676" w14:textId="77777777" w:rsidR="00A6363A" w:rsidRPr="0063714C" w:rsidRDefault="00A6363A" w:rsidP="00A6363A">
            <w:pPr>
              <w:jc w:val="center"/>
              <w:rPr>
                <w:b/>
              </w:rPr>
            </w:pPr>
            <w:r w:rsidRPr="0063714C">
              <w:rPr>
                <w:b/>
              </w:rPr>
              <w:t xml:space="preserve">v budově Poslanecké sněmovny, Sněmovní </w:t>
            </w:r>
            <w:r w:rsidR="0063714C" w:rsidRPr="0063714C">
              <w:rPr>
                <w:b/>
              </w:rPr>
              <w:t>4</w:t>
            </w:r>
            <w:r w:rsidRPr="0063714C">
              <w:rPr>
                <w:b/>
              </w:rPr>
              <w:t xml:space="preserve">, 118 </w:t>
            </w:r>
            <w:proofErr w:type="gramStart"/>
            <w:r w:rsidRPr="0063714C">
              <w:rPr>
                <w:b/>
              </w:rPr>
              <w:t>26  Praha</w:t>
            </w:r>
            <w:proofErr w:type="gramEnd"/>
            <w:r w:rsidRPr="0063714C">
              <w:rPr>
                <w:b/>
              </w:rPr>
              <w:t xml:space="preserve"> 1</w:t>
            </w:r>
          </w:p>
          <w:p w14:paraId="2464F19C" w14:textId="59415F6F" w:rsidR="0063714C" w:rsidRPr="0063714C" w:rsidRDefault="0063714C" w:rsidP="0063714C">
            <w:pPr>
              <w:spacing w:line="360" w:lineRule="auto"/>
              <w:jc w:val="center"/>
              <w:rPr>
                <w:b/>
              </w:rPr>
            </w:pPr>
            <w:r w:rsidRPr="0063714C">
              <w:rPr>
                <w:b/>
              </w:rPr>
              <w:t xml:space="preserve">místnost č. </w:t>
            </w:r>
            <w:proofErr w:type="gramStart"/>
            <w:r w:rsidR="00BB1BD3">
              <w:rPr>
                <w:b/>
              </w:rPr>
              <w:t>55A</w:t>
            </w:r>
            <w:proofErr w:type="gramEnd"/>
            <w:r w:rsidR="00025A1D" w:rsidRPr="0063714C">
              <w:rPr>
                <w:b/>
              </w:rPr>
              <w:t xml:space="preserve"> </w:t>
            </w:r>
          </w:p>
          <w:p w14:paraId="4F95BCA5" w14:textId="77777777" w:rsidR="00A1508C" w:rsidRDefault="00A1508C" w:rsidP="00EE5A5C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3E72F104" w14:textId="77777777" w:rsidR="00EE5A5C" w:rsidRDefault="00EE5A5C" w:rsidP="00AC2F62">
            <w:pPr>
              <w:spacing w:line="324" w:lineRule="auto"/>
              <w:rPr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NÁVRH</w:t>
            </w:r>
            <w:r w:rsidR="00C6413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PROGRAMU</w:t>
            </w:r>
            <w:proofErr w:type="gramEnd"/>
            <w:r w:rsidRPr="00377CC3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14:paraId="5A94EF95" w14:textId="77777777" w:rsidR="00EE5A5C" w:rsidRPr="00377CC3" w:rsidRDefault="00EE5A5C" w:rsidP="00EE5A5C">
            <w:pPr>
              <w:rPr>
                <w:b/>
                <w:i/>
                <w:spacing w:val="-3"/>
                <w:sz w:val="28"/>
                <w:szCs w:val="28"/>
                <w:u w:val="single"/>
              </w:rPr>
            </w:pPr>
          </w:p>
          <w:p w14:paraId="1EB80BC3" w14:textId="27EF0B19" w:rsidR="00EE5A5C" w:rsidRDefault="00BB1BD3" w:rsidP="00EE5A5C">
            <w:pPr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1</w:t>
            </w:r>
            <w:r w:rsidR="00533D63">
              <w:rPr>
                <w:b/>
                <w:i/>
                <w:spacing w:val="-3"/>
                <w:sz w:val="28"/>
                <w:szCs w:val="28"/>
              </w:rPr>
              <w:t>3</w:t>
            </w:r>
            <w:bookmarkStart w:id="0" w:name="_GoBack"/>
            <w:bookmarkEnd w:id="0"/>
            <w:r w:rsidR="00570F58">
              <w:rPr>
                <w:b/>
                <w:i/>
                <w:spacing w:val="-3"/>
                <w:sz w:val="28"/>
                <w:szCs w:val="28"/>
              </w:rPr>
              <w:t>:</w:t>
            </w:r>
            <w:r>
              <w:rPr>
                <w:b/>
                <w:i/>
                <w:spacing w:val="-3"/>
                <w:sz w:val="28"/>
                <w:szCs w:val="28"/>
              </w:rPr>
              <w:t>0</w:t>
            </w:r>
            <w:r w:rsidR="00EE5A5C" w:rsidRPr="00377CC3">
              <w:rPr>
                <w:b/>
                <w:i/>
                <w:spacing w:val="-3"/>
                <w:sz w:val="28"/>
                <w:szCs w:val="28"/>
              </w:rPr>
              <w:t>0 hod.</w:t>
            </w:r>
          </w:p>
          <w:p w14:paraId="15A7E925" w14:textId="77777777" w:rsidR="00EE5A5C" w:rsidRPr="00377CC3" w:rsidRDefault="00EE5A5C" w:rsidP="00EE5A5C">
            <w:pPr>
              <w:rPr>
                <w:b/>
                <w:i/>
                <w:sz w:val="28"/>
                <w:szCs w:val="28"/>
              </w:rPr>
            </w:pPr>
          </w:p>
          <w:p w14:paraId="65A7F7D9" w14:textId="085A3213" w:rsidR="00EE5A5C" w:rsidRDefault="00EE5A5C" w:rsidP="0058399A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Schválení programu schůze</w:t>
            </w:r>
          </w:p>
          <w:p w14:paraId="526A064D" w14:textId="34F84E2E" w:rsidR="00F91744" w:rsidRPr="004C26A9" w:rsidRDefault="00BB1BD3" w:rsidP="004C26A9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t>Vyjádření k vládnímu návrhu zákona o hromadném občanském řízení soudním (tisk 523) a vládnímu návrhu zákona, kterým se mění některé zákony v souvislosti s přijetím zákona o hromadném občanském řízení soudním (tisk 524)</w:t>
            </w:r>
            <w:r w:rsidR="00A96CFC">
              <w:t>,</w:t>
            </w:r>
            <w:r>
              <w:t xml:space="preserve"> a k nim uplatněným pozměňovacím návrhům</w:t>
            </w:r>
          </w:p>
          <w:p w14:paraId="48809D33" w14:textId="77777777" w:rsidR="00F91744" w:rsidRDefault="00F91744" w:rsidP="00F91744">
            <w:pPr>
              <w:pStyle w:val="Odstavecseseznamem"/>
              <w:numPr>
                <w:ilvl w:val="0"/>
                <w:numId w:val="6"/>
              </w:numPr>
            </w:pPr>
            <w:r>
              <w:t xml:space="preserve">Různé </w:t>
            </w:r>
          </w:p>
          <w:p w14:paraId="091B9695" w14:textId="77777777" w:rsidR="00F91744" w:rsidRDefault="00F91744" w:rsidP="00F91744">
            <w:pPr>
              <w:pStyle w:val="Odstavecseseznamem"/>
            </w:pPr>
          </w:p>
          <w:p w14:paraId="026C7892" w14:textId="77777777" w:rsidR="00F91744" w:rsidRDefault="00F91744" w:rsidP="00872B3F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Návrh termínu a pořadu příští schůze</w:t>
            </w:r>
          </w:p>
          <w:p w14:paraId="165A337C" w14:textId="77777777" w:rsidR="00EE5A5C" w:rsidRDefault="00EE5A5C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1D75E99A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F8F8359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FAED555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013AFC38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EEA97C1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18CCB5C9" w14:textId="77777777" w:rsidR="00EE5A5C" w:rsidRPr="0025754E" w:rsidRDefault="00EE5A5C" w:rsidP="00EE5A5C">
            <w:pPr>
              <w:rPr>
                <w:spacing w:val="-3"/>
                <w:szCs w:val="24"/>
              </w:rPr>
            </w:pPr>
          </w:p>
          <w:p w14:paraId="0066A9D4" w14:textId="77777777" w:rsidR="00EE5A5C" w:rsidRPr="0025754E" w:rsidRDefault="00EE5A5C" w:rsidP="00EE5A5C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E5A5C" w14:paraId="0A304D63" w14:textId="77777777" w:rsidTr="00DC618A">
              <w:tc>
                <w:tcPr>
                  <w:tcW w:w="4606" w:type="dxa"/>
                  <w:shd w:val="clear" w:color="auto" w:fill="auto"/>
                </w:tcPr>
                <w:p w14:paraId="7D8DDA44" w14:textId="61CB5AD4" w:rsidR="00EE5A5C" w:rsidRDefault="00EE5A5C" w:rsidP="00582DBD">
                  <w:r>
                    <w:t xml:space="preserve">V Praze </w:t>
                  </w:r>
                  <w:r w:rsidRPr="00F4024E">
                    <w:t>dne</w:t>
                  </w:r>
                  <w:r w:rsidR="00773489" w:rsidRPr="00F4024E">
                    <w:t xml:space="preserve"> </w:t>
                  </w:r>
                  <w:r w:rsidR="00BB1BD3">
                    <w:t>1. února 2024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5FB6202" w14:textId="254260F4" w:rsidR="00EE5A5C" w:rsidRPr="00E86AE0" w:rsidRDefault="00EE5A5C" w:rsidP="00EE5A5C">
                  <w:r>
                    <w:t xml:space="preserve">     </w:t>
                  </w:r>
                  <w:r w:rsidR="0058399A">
                    <w:t xml:space="preserve"> </w:t>
                  </w:r>
                  <w:r w:rsidR="0033064B">
                    <w:t xml:space="preserve"> </w:t>
                  </w:r>
                  <w:r w:rsidR="00185219">
                    <w:t xml:space="preserve"> </w:t>
                  </w:r>
                  <w:r w:rsidR="00622AB8" w:rsidRPr="00F91744">
                    <w:rPr>
                      <w:b/>
                    </w:rPr>
                    <w:t>p</w:t>
                  </w:r>
                  <w:r w:rsidR="00734952" w:rsidRPr="00F91744">
                    <w:rPr>
                      <w:b/>
                    </w:rPr>
                    <w:t>rof. JUDr. Helena Válková, CSc.</w:t>
                  </w:r>
                  <w:r w:rsidR="00E86AE0">
                    <w:rPr>
                      <w:b/>
                    </w:rPr>
                    <w:t xml:space="preserve"> </w:t>
                  </w:r>
                  <w:r w:rsidR="00E86AE0">
                    <w:t>v.r.</w:t>
                  </w:r>
                </w:p>
                <w:p w14:paraId="57EBBFF7" w14:textId="77777777" w:rsidR="00EE5A5C" w:rsidRDefault="00404AA4" w:rsidP="00404AA4">
                  <w:r>
                    <w:t xml:space="preserve">                 </w:t>
                  </w:r>
                  <w:r w:rsidR="005D27C6">
                    <w:t xml:space="preserve">  </w:t>
                  </w:r>
                  <w:r>
                    <w:t xml:space="preserve"> předsedkyně</w:t>
                  </w:r>
                  <w:r w:rsidR="00EE5A5C">
                    <w:t xml:space="preserve"> podvýboru</w:t>
                  </w:r>
                </w:p>
              </w:tc>
            </w:tr>
          </w:tbl>
          <w:p w14:paraId="7A157C98" w14:textId="77777777" w:rsidR="00EE5A5C" w:rsidRDefault="00EE5A5C" w:rsidP="00EE5A5C">
            <w:pPr>
              <w:jc w:val="center"/>
            </w:pPr>
          </w:p>
        </w:tc>
      </w:tr>
      <w:tr w:rsidR="00D47322" w14:paraId="0CFDA553" w14:textId="77777777" w:rsidTr="00A1508C">
        <w:tc>
          <w:tcPr>
            <w:tcW w:w="4606" w:type="dxa"/>
            <w:shd w:val="clear" w:color="auto" w:fill="auto"/>
          </w:tcPr>
          <w:p w14:paraId="7FE0211F" w14:textId="77777777" w:rsidR="00D47322" w:rsidRDefault="00D47322"/>
        </w:tc>
        <w:tc>
          <w:tcPr>
            <w:tcW w:w="4606" w:type="dxa"/>
            <w:shd w:val="clear" w:color="auto" w:fill="auto"/>
          </w:tcPr>
          <w:p w14:paraId="54639FFE" w14:textId="77777777" w:rsidR="00D47322" w:rsidRDefault="00D47322">
            <w:pPr>
              <w:snapToGrid w:val="0"/>
            </w:pPr>
          </w:p>
        </w:tc>
      </w:tr>
    </w:tbl>
    <w:p w14:paraId="79BC10A7" w14:textId="77777777" w:rsidR="00D47322" w:rsidRDefault="00D47322"/>
    <w:sectPr w:rsidR="00D47322">
      <w:footerReference w:type="default" r:id="rId7"/>
      <w:footerReference w:type="first" r:id="rId8"/>
      <w:pgSz w:w="11906" w:h="16838"/>
      <w:pgMar w:top="613" w:right="1417" w:bottom="7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7627" w14:textId="77777777" w:rsidR="00217165" w:rsidRDefault="00217165">
      <w:r>
        <w:separator/>
      </w:r>
    </w:p>
  </w:endnote>
  <w:endnote w:type="continuationSeparator" w:id="0">
    <w:p w14:paraId="16A6EF84" w14:textId="77777777" w:rsidR="00217165" w:rsidRDefault="002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6848" w14:textId="77777777" w:rsidR="00D47322" w:rsidRDefault="00D47322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2A6275">
      <w:rPr>
        <w:noProof/>
      </w:rPr>
      <w:t>2</w:t>
    </w:r>
    <w:r>
      <w:fldChar w:fldCharType="end"/>
    </w:r>
  </w:p>
  <w:p w14:paraId="436B639A" w14:textId="77777777" w:rsidR="00D47322" w:rsidRDefault="00D47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4755" w14:textId="77777777" w:rsidR="00D47322" w:rsidRDefault="00D4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6690" w14:textId="77777777" w:rsidR="00217165" w:rsidRDefault="00217165">
      <w:r>
        <w:separator/>
      </w:r>
    </w:p>
  </w:footnote>
  <w:footnote w:type="continuationSeparator" w:id="0">
    <w:p w14:paraId="00EFA52D" w14:textId="77777777" w:rsidR="00217165" w:rsidRDefault="0021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BC6A01"/>
    <w:multiLevelType w:val="hybridMultilevel"/>
    <w:tmpl w:val="0374B5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37EC9"/>
    <w:multiLevelType w:val="multilevel"/>
    <w:tmpl w:val="6050774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282262BB"/>
    <w:multiLevelType w:val="hybridMultilevel"/>
    <w:tmpl w:val="76425EE0"/>
    <w:lvl w:ilvl="0" w:tplc="C61483E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232118"/>
    <w:multiLevelType w:val="multilevel"/>
    <w:tmpl w:val="A346405E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6" w15:restartNumberingAfterBreak="0">
    <w:nsid w:val="30E1768B"/>
    <w:multiLevelType w:val="hybridMultilevel"/>
    <w:tmpl w:val="2C785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D4147"/>
    <w:multiLevelType w:val="hybridMultilevel"/>
    <w:tmpl w:val="E550D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5098"/>
    <w:multiLevelType w:val="hybridMultilevel"/>
    <w:tmpl w:val="A76A026E"/>
    <w:lvl w:ilvl="0" w:tplc="C30889B6">
      <w:numFmt w:val="bullet"/>
      <w:lvlText w:val="-"/>
      <w:lvlJc w:val="left"/>
      <w:pPr>
        <w:ind w:left="32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9" w15:restartNumberingAfterBreak="0">
    <w:nsid w:val="5A7D4323"/>
    <w:multiLevelType w:val="hybridMultilevel"/>
    <w:tmpl w:val="CEDC7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84"/>
    <w:rsid w:val="00017268"/>
    <w:rsid w:val="00025A1D"/>
    <w:rsid w:val="00047077"/>
    <w:rsid w:val="000628EB"/>
    <w:rsid w:val="000A306B"/>
    <w:rsid w:val="000B673A"/>
    <w:rsid w:val="000D0855"/>
    <w:rsid w:val="000E08D1"/>
    <w:rsid w:val="00107865"/>
    <w:rsid w:val="001257B4"/>
    <w:rsid w:val="00131AE6"/>
    <w:rsid w:val="00137850"/>
    <w:rsid w:val="00141D88"/>
    <w:rsid w:val="00151426"/>
    <w:rsid w:val="00185219"/>
    <w:rsid w:val="00217165"/>
    <w:rsid w:val="002214E4"/>
    <w:rsid w:val="00243C76"/>
    <w:rsid w:val="00256C38"/>
    <w:rsid w:val="002A06EA"/>
    <w:rsid w:val="002A6275"/>
    <w:rsid w:val="002C7EFF"/>
    <w:rsid w:val="002D1672"/>
    <w:rsid w:val="002E410F"/>
    <w:rsid w:val="0033064B"/>
    <w:rsid w:val="00342B89"/>
    <w:rsid w:val="00351F40"/>
    <w:rsid w:val="003D5B76"/>
    <w:rsid w:val="003F7F5C"/>
    <w:rsid w:val="004014CA"/>
    <w:rsid w:val="00404AA4"/>
    <w:rsid w:val="0048798C"/>
    <w:rsid w:val="004A1CD3"/>
    <w:rsid w:val="004C26A9"/>
    <w:rsid w:val="004C3F88"/>
    <w:rsid w:val="004E0F86"/>
    <w:rsid w:val="004F04A3"/>
    <w:rsid w:val="00514408"/>
    <w:rsid w:val="00533D63"/>
    <w:rsid w:val="00570F58"/>
    <w:rsid w:val="00582DBD"/>
    <w:rsid w:val="0058399A"/>
    <w:rsid w:val="005B0720"/>
    <w:rsid w:val="005D24D3"/>
    <w:rsid w:val="005D27C6"/>
    <w:rsid w:val="00622AB8"/>
    <w:rsid w:val="0063714C"/>
    <w:rsid w:val="006649C8"/>
    <w:rsid w:val="00671503"/>
    <w:rsid w:val="006A45F1"/>
    <w:rsid w:val="006B30E6"/>
    <w:rsid w:val="00713369"/>
    <w:rsid w:val="00734952"/>
    <w:rsid w:val="00765A9D"/>
    <w:rsid w:val="00773489"/>
    <w:rsid w:val="007D165C"/>
    <w:rsid w:val="008241D9"/>
    <w:rsid w:val="00837A12"/>
    <w:rsid w:val="00872B3F"/>
    <w:rsid w:val="00896E3D"/>
    <w:rsid w:val="008A4637"/>
    <w:rsid w:val="008E6031"/>
    <w:rsid w:val="0090083F"/>
    <w:rsid w:val="009624EF"/>
    <w:rsid w:val="00976C10"/>
    <w:rsid w:val="00981840"/>
    <w:rsid w:val="009867A8"/>
    <w:rsid w:val="009D0C6D"/>
    <w:rsid w:val="00A1387C"/>
    <w:rsid w:val="00A1508C"/>
    <w:rsid w:val="00A409FC"/>
    <w:rsid w:val="00A45A0A"/>
    <w:rsid w:val="00A6363A"/>
    <w:rsid w:val="00A82AD7"/>
    <w:rsid w:val="00A96CFC"/>
    <w:rsid w:val="00AA5AEA"/>
    <w:rsid w:val="00AB2ADE"/>
    <w:rsid w:val="00AB56B6"/>
    <w:rsid w:val="00AC2F62"/>
    <w:rsid w:val="00AD21BD"/>
    <w:rsid w:val="00B42051"/>
    <w:rsid w:val="00B57AFF"/>
    <w:rsid w:val="00B623B8"/>
    <w:rsid w:val="00B65F11"/>
    <w:rsid w:val="00B846DA"/>
    <w:rsid w:val="00BB1BD3"/>
    <w:rsid w:val="00BB33C8"/>
    <w:rsid w:val="00C537DE"/>
    <w:rsid w:val="00C62015"/>
    <w:rsid w:val="00C64136"/>
    <w:rsid w:val="00CB0141"/>
    <w:rsid w:val="00CB2E91"/>
    <w:rsid w:val="00D0250B"/>
    <w:rsid w:val="00D30788"/>
    <w:rsid w:val="00D40D84"/>
    <w:rsid w:val="00D47322"/>
    <w:rsid w:val="00D8428B"/>
    <w:rsid w:val="00DA1964"/>
    <w:rsid w:val="00DD09AE"/>
    <w:rsid w:val="00DD11DB"/>
    <w:rsid w:val="00DD3C27"/>
    <w:rsid w:val="00DD7350"/>
    <w:rsid w:val="00DF259B"/>
    <w:rsid w:val="00DF32EB"/>
    <w:rsid w:val="00DF7324"/>
    <w:rsid w:val="00E25BBD"/>
    <w:rsid w:val="00E307DC"/>
    <w:rsid w:val="00E324D7"/>
    <w:rsid w:val="00E377E6"/>
    <w:rsid w:val="00E735C5"/>
    <w:rsid w:val="00E86AE0"/>
    <w:rsid w:val="00EE5A5C"/>
    <w:rsid w:val="00EF5DD8"/>
    <w:rsid w:val="00F4024E"/>
    <w:rsid w:val="00F44E61"/>
    <w:rsid w:val="00F50D48"/>
    <w:rsid w:val="00F6274D"/>
    <w:rsid w:val="00F671E9"/>
    <w:rsid w:val="00F75DC0"/>
    <w:rsid w:val="00F866F6"/>
    <w:rsid w:val="00F86AC0"/>
    <w:rsid w:val="00F91744"/>
    <w:rsid w:val="00F94F91"/>
    <w:rsid w:val="00F97332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E7634"/>
  <w15:chartTrackingRefBased/>
  <w15:docId w15:val="{524BC9FF-2E04-4476-85CE-507BB97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pacing w:val="-3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pacing w:val="-3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npsmoodstavce2">
    <w:name w:val="Standardní písmo odstavce2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ZpatChar">
    <w:name w:val="Zápatí Char"/>
    <w:rPr>
      <w:sz w:val="24"/>
      <w:lang w:eastAsia="zh-CN" w:bidi="hi-IN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line="360" w:lineRule="auto"/>
    </w:pPr>
    <w:rPr>
      <w:b/>
      <w:i/>
      <w:sz w:val="28"/>
      <w:u w:val="single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981840"/>
    <w:pPr>
      <w:ind w:left="720"/>
      <w:contextualSpacing/>
    </w:pPr>
    <w:rPr>
      <w:rFonts w:cs="Mangal"/>
    </w:rPr>
  </w:style>
  <w:style w:type="paragraph" w:customStyle="1" w:styleId="nadpiszkona">
    <w:name w:val="nadpis zákona"/>
    <w:basedOn w:val="Normln"/>
    <w:next w:val="Normln"/>
    <w:rsid w:val="004C26A9"/>
    <w:pPr>
      <w:keepNext/>
      <w:keepLines/>
      <w:suppressAutoHyphens w:val="0"/>
      <w:spacing w:before="120"/>
      <w:jc w:val="center"/>
      <w:outlineLvl w:val="0"/>
    </w:pPr>
    <w:rPr>
      <w:b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Jana Dvorakova</dc:creator>
  <cp:keywords/>
  <cp:lastModifiedBy>JUDr. Eva Ledererová</cp:lastModifiedBy>
  <cp:revision>5</cp:revision>
  <cp:lastPrinted>2024-02-01T11:26:00Z</cp:lastPrinted>
  <dcterms:created xsi:type="dcterms:W3CDTF">2024-02-01T11:25:00Z</dcterms:created>
  <dcterms:modified xsi:type="dcterms:W3CDTF">2024-02-02T10:18:00Z</dcterms:modified>
</cp:coreProperties>
</file>