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458A0F9C" w:rsidR="00DC29E4" w:rsidRDefault="00886EFC" w:rsidP="000E730C">
      <w:pPr>
        <w:pStyle w:val="PS-hlavika2"/>
      </w:pPr>
      <w:r>
        <w:t>20</w:t>
      </w:r>
      <w:r w:rsidR="00FF6A5B">
        <w:t>2</w:t>
      </w:r>
      <w:r w:rsidR="00A70588">
        <w:t>3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06E14086" w:rsidR="00DC29E4" w:rsidRDefault="00867FDB" w:rsidP="000E730C">
      <w:pPr>
        <w:pStyle w:val="PS-slousnesen"/>
      </w:pPr>
      <w:r>
        <w:t>7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7CE5951D" w:rsidR="00DC29E4" w:rsidRDefault="00DC29E4" w:rsidP="009A33AF">
      <w:pPr>
        <w:pStyle w:val="PS-hlavika1"/>
      </w:pPr>
      <w:r>
        <w:t xml:space="preserve">z </w:t>
      </w:r>
      <w:r w:rsidR="00802261">
        <w:t>6</w:t>
      </w:r>
      <w:r>
        <w:t>. schůze</w:t>
      </w:r>
    </w:p>
    <w:p w14:paraId="726ACB33" w14:textId="25DADF98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EC27F7">
        <w:t>31</w:t>
      </w:r>
      <w:r w:rsidR="00802261">
        <w:t>. května</w:t>
      </w:r>
      <w:r w:rsidR="00BC3BBA">
        <w:t xml:space="preserve"> 2023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376E2F" w14:textId="7BD4BAB7" w:rsidR="000531C2" w:rsidRPr="00595ACC" w:rsidRDefault="000531C2" w:rsidP="000531C2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 </w:t>
      </w:r>
      <w:r w:rsidR="00BC3BBA">
        <w:rPr>
          <w:rFonts w:eastAsia="Times New Roman"/>
          <w:bCs/>
          <w:color w:val="000000"/>
          <w:szCs w:val="24"/>
          <w:lang w:eastAsia="cs-CZ"/>
        </w:rPr>
        <w:t>p</w:t>
      </w:r>
      <w:r w:rsidR="00BC3BBA" w:rsidRPr="00BC3BBA">
        <w:rPr>
          <w:rFonts w:eastAsia="Times New Roman"/>
          <w:bCs/>
          <w:color w:val="000000"/>
          <w:szCs w:val="24"/>
          <w:lang w:eastAsia="cs-CZ"/>
        </w:rPr>
        <w:t>roblemati</w:t>
      </w:r>
      <w:r w:rsidR="00BC3BBA">
        <w:rPr>
          <w:rFonts w:eastAsia="Times New Roman"/>
          <w:bCs/>
          <w:color w:val="000000"/>
          <w:szCs w:val="24"/>
          <w:lang w:eastAsia="cs-CZ"/>
        </w:rPr>
        <w:t>ce</w:t>
      </w:r>
      <w:r w:rsidR="00BC3BBA" w:rsidRPr="00BC3BBA">
        <w:rPr>
          <w:rFonts w:eastAsia="Times New Roman"/>
          <w:bCs/>
          <w:color w:val="000000"/>
          <w:szCs w:val="24"/>
          <w:lang w:eastAsia="cs-CZ"/>
        </w:rPr>
        <w:t xml:space="preserve"> oc</w:t>
      </w:r>
      <w:r w:rsidR="005A1784">
        <w:rPr>
          <w:rFonts w:eastAsia="Times New Roman"/>
          <w:bCs/>
          <w:color w:val="000000"/>
          <w:szCs w:val="24"/>
          <w:lang w:eastAsia="cs-CZ"/>
        </w:rPr>
        <w:t>eňování</w:t>
      </w:r>
      <w:r w:rsidR="00BC3BBA" w:rsidRPr="00BC3BBA">
        <w:rPr>
          <w:rFonts w:eastAsia="Times New Roman"/>
          <w:bCs/>
          <w:color w:val="000000"/>
          <w:szCs w:val="24"/>
          <w:lang w:eastAsia="cs-CZ"/>
        </w:rPr>
        <w:t xml:space="preserve"> nemovitostí a majetku státu – určení objektivní ceny</w:t>
      </w:r>
    </w:p>
    <w:p w14:paraId="158EBD5F" w14:textId="77777777" w:rsidR="00CC0607" w:rsidRDefault="00CC0607" w:rsidP="00142EEC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E900896" w14:textId="7A43EA4C" w:rsidR="00F57D31" w:rsidRPr="00F57D31" w:rsidRDefault="00CC0607" w:rsidP="00F57D31">
      <w:pPr>
        <w:ind w:firstLine="705"/>
        <w:jc w:val="both"/>
        <w:rPr>
          <w:rFonts w:ascii="Times New Roman" w:hAnsi="Times New Roman"/>
          <w:spacing w:val="-3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31C2">
        <w:rPr>
          <w:rFonts w:ascii="Times New Roman" w:hAnsi="Times New Roman"/>
          <w:spacing w:val="-3"/>
          <w:sz w:val="24"/>
          <w:szCs w:val="24"/>
        </w:rPr>
        <w:t>po zpravodajské zprávě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="00BC3BBA">
        <w:rPr>
          <w:rFonts w:ascii="Times New Roman" w:hAnsi="Times New Roman"/>
          <w:spacing w:val="-3"/>
          <w:sz w:val="24"/>
          <w:szCs w:val="24"/>
        </w:rPr>
        <w:t>, po stanovisku</w:t>
      </w:r>
      <w:r w:rsidR="00F57D31">
        <w:rPr>
          <w:rFonts w:ascii="Times New Roman" w:hAnsi="Times New Roman"/>
          <w:spacing w:val="-3"/>
          <w:sz w:val="24"/>
          <w:szCs w:val="24"/>
        </w:rPr>
        <w:t xml:space="preserve"> generální ředitelky Úřadu pro zastupování státu ve věcech majetkových Kateřiny </w:t>
      </w:r>
      <w:proofErr w:type="spellStart"/>
      <w:r w:rsidR="00F57D31">
        <w:rPr>
          <w:rFonts w:ascii="Times New Roman" w:hAnsi="Times New Roman"/>
          <w:spacing w:val="-3"/>
          <w:sz w:val="24"/>
          <w:szCs w:val="24"/>
        </w:rPr>
        <w:t>Arajmu</w:t>
      </w:r>
      <w:proofErr w:type="spellEnd"/>
      <w:r w:rsidR="00F57D31">
        <w:rPr>
          <w:rFonts w:ascii="Times New Roman" w:hAnsi="Times New Roman"/>
          <w:spacing w:val="-3"/>
          <w:sz w:val="24"/>
          <w:szCs w:val="24"/>
        </w:rPr>
        <w:t>,</w:t>
      </w:r>
      <w:r w:rsidR="007A6D9F">
        <w:rPr>
          <w:rFonts w:ascii="Times New Roman" w:hAnsi="Times New Roman"/>
          <w:spacing w:val="-3"/>
          <w:sz w:val="24"/>
          <w:szCs w:val="24"/>
        </w:rPr>
        <w:t xml:space="preserve"> stanovisku</w:t>
      </w:r>
      <w:r w:rsidR="00F57D3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7D31" w:rsidRPr="008B2F3C">
        <w:rPr>
          <w:rFonts w:ascii="Times New Roman" w:hAnsi="Times New Roman"/>
          <w:spacing w:val="-3"/>
          <w:sz w:val="24"/>
          <w:szCs w:val="24"/>
        </w:rPr>
        <w:t>náměstka ministra</w:t>
      </w:r>
      <w:r w:rsidR="00FF083C">
        <w:rPr>
          <w:rFonts w:ascii="Times New Roman" w:hAnsi="Times New Roman"/>
          <w:spacing w:val="-3"/>
          <w:sz w:val="24"/>
          <w:szCs w:val="24"/>
        </w:rPr>
        <w:t xml:space="preserve"> spravedlnosti</w:t>
      </w:r>
      <w:r w:rsidR="00F57D31" w:rsidRPr="008B2F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B2F3C" w:rsidRPr="00867FDB">
        <w:rPr>
          <w:rFonts w:ascii="Times New Roman" w:hAnsi="Times New Roman"/>
          <w:spacing w:val="-3"/>
          <w:sz w:val="24"/>
          <w:szCs w:val="24"/>
        </w:rPr>
        <w:t>Karla Dvořáka</w:t>
      </w:r>
      <w:r w:rsidR="00F57D31" w:rsidRPr="00867FDB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7A6D9F" w:rsidRPr="00867FDB">
        <w:rPr>
          <w:rFonts w:ascii="Times New Roman" w:hAnsi="Times New Roman"/>
          <w:spacing w:val="-3"/>
          <w:sz w:val="24"/>
          <w:szCs w:val="24"/>
        </w:rPr>
        <w:t>stanovisku</w:t>
      </w:r>
      <w:r w:rsidR="007A6D9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7D31">
        <w:rPr>
          <w:rFonts w:ascii="Times New Roman" w:hAnsi="Times New Roman"/>
          <w:spacing w:val="-3"/>
          <w:sz w:val="24"/>
          <w:szCs w:val="24"/>
        </w:rPr>
        <w:t>výkonné ředitelky Svazu měst a</w:t>
      </w:r>
      <w:r w:rsidR="00B01B1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7D31">
        <w:rPr>
          <w:rFonts w:ascii="Times New Roman" w:hAnsi="Times New Roman"/>
          <w:spacing w:val="-3"/>
          <w:sz w:val="24"/>
          <w:szCs w:val="24"/>
        </w:rPr>
        <w:t>obcí</w:t>
      </w:r>
      <w:r w:rsidR="00B01B1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7D31">
        <w:rPr>
          <w:rFonts w:ascii="Times New Roman" w:hAnsi="Times New Roman"/>
          <w:spacing w:val="-3"/>
          <w:sz w:val="24"/>
          <w:szCs w:val="24"/>
        </w:rPr>
        <w:t>ČR Radky Vladykové a po rozpravě</w:t>
      </w:r>
    </w:p>
    <w:p w14:paraId="683702B9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2630953D" w14:textId="77777777" w:rsidR="001C25DB" w:rsidRPr="00142EEC" w:rsidRDefault="001C25DB" w:rsidP="00142EEC">
      <w:pPr>
        <w:jc w:val="both"/>
        <w:rPr>
          <w:rFonts w:ascii="Times New Roman" w:hAnsi="Times New Roman"/>
          <w:sz w:val="24"/>
          <w:szCs w:val="24"/>
        </w:rPr>
      </w:pPr>
      <w:bookmarkStart w:id="0" w:name="_Hlk136426361"/>
    </w:p>
    <w:p w14:paraId="66963450" w14:textId="02DD417A" w:rsidR="00032F50" w:rsidRPr="008F4D6E" w:rsidRDefault="008B2F3C" w:rsidP="00C36A16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B2F3C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bere na vědomí </w:t>
      </w:r>
      <w:r w:rsidRPr="008B2F3C">
        <w:rPr>
          <w:rFonts w:ascii="Times New Roman" w:hAnsi="Times New Roman"/>
          <w:spacing w:val="-3"/>
          <w:sz w:val="24"/>
          <w:szCs w:val="24"/>
        </w:rPr>
        <w:t xml:space="preserve">informaci náměstka ministra </w:t>
      </w:r>
      <w:r w:rsidRPr="00867FDB">
        <w:rPr>
          <w:rFonts w:ascii="Times New Roman" w:hAnsi="Times New Roman"/>
          <w:spacing w:val="-3"/>
          <w:sz w:val="24"/>
          <w:szCs w:val="24"/>
        </w:rPr>
        <w:t>spravedlnosti Karla Dvořáka</w:t>
      </w:r>
      <w:r w:rsidR="00AE550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C56A9">
        <w:rPr>
          <w:rFonts w:ascii="Times New Roman" w:hAnsi="Times New Roman"/>
          <w:spacing w:val="-3"/>
          <w:sz w:val="24"/>
          <w:szCs w:val="24"/>
        </w:rPr>
        <w:t>a</w:t>
      </w:r>
      <w:r w:rsidR="00374A7E">
        <w:rPr>
          <w:rFonts w:ascii="Times New Roman" w:hAnsi="Times New Roman"/>
          <w:spacing w:val="-3"/>
          <w:sz w:val="24"/>
          <w:szCs w:val="24"/>
        </w:rPr>
        <w:t> </w:t>
      </w:r>
      <w:r w:rsidR="006C56A9">
        <w:rPr>
          <w:rFonts w:ascii="Times New Roman" w:hAnsi="Times New Roman"/>
          <w:spacing w:val="-3"/>
          <w:sz w:val="24"/>
          <w:szCs w:val="24"/>
        </w:rPr>
        <w:t>zástupců Úřadu pro zastupování státu ve věcech majetkových</w:t>
      </w:r>
      <w:r w:rsidR="00A04B82">
        <w:rPr>
          <w:rFonts w:ascii="Times New Roman" w:hAnsi="Times New Roman"/>
          <w:spacing w:val="-3"/>
          <w:sz w:val="24"/>
          <w:szCs w:val="24"/>
        </w:rPr>
        <w:t xml:space="preserve"> –</w:t>
      </w:r>
      <w:r w:rsidR="006C56A9">
        <w:rPr>
          <w:rFonts w:ascii="Times New Roman" w:hAnsi="Times New Roman"/>
          <w:spacing w:val="-3"/>
          <w:sz w:val="24"/>
          <w:szCs w:val="24"/>
        </w:rPr>
        <w:t xml:space="preserve"> náměstka generální ředitelky Úřadu pro zastupování státu ve věcech majetkových Tomáše Jasného</w:t>
      </w:r>
      <w:r w:rsidR="006C56A9" w:rsidRPr="0086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C56A9">
        <w:rPr>
          <w:rFonts w:ascii="Times New Roman" w:hAnsi="Times New Roman"/>
          <w:spacing w:val="-3"/>
          <w:sz w:val="24"/>
          <w:szCs w:val="24"/>
        </w:rPr>
        <w:t xml:space="preserve">a </w:t>
      </w:r>
      <w:r w:rsidR="00AE550D">
        <w:rPr>
          <w:rFonts w:ascii="Times New Roman" w:hAnsi="Times New Roman"/>
          <w:spacing w:val="-3"/>
          <w:sz w:val="24"/>
          <w:szCs w:val="24"/>
        </w:rPr>
        <w:t xml:space="preserve">generální ředitelky Úřadu pro zastupování státu ve věcech majetkových Kateřiny </w:t>
      </w:r>
      <w:proofErr w:type="spellStart"/>
      <w:r w:rsidR="00AE550D">
        <w:rPr>
          <w:rFonts w:ascii="Times New Roman" w:hAnsi="Times New Roman"/>
          <w:spacing w:val="-3"/>
          <w:sz w:val="24"/>
          <w:szCs w:val="24"/>
        </w:rPr>
        <w:t>Arajmu</w:t>
      </w:r>
      <w:proofErr w:type="spellEnd"/>
      <w:r w:rsidR="00AE550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B4E44" w:rsidRPr="00867FDB">
        <w:rPr>
          <w:rFonts w:ascii="Times New Roman" w:hAnsi="Times New Roman"/>
          <w:spacing w:val="-3"/>
          <w:sz w:val="24"/>
          <w:szCs w:val="24"/>
        </w:rPr>
        <w:t>o</w:t>
      </w:r>
      <w:r w:rsidR="00E219D4">
        <w:rPr>
          <w:rFonts w:ascii="Times New Roman" w:hAnsi="Times New Roman"/>
          <w:spacing w:val="-3"/>
          <w:sz w:val="24"/>
          <w:szCs w:val="24"/>
        </w:rPr>
        <w:t> </w:t>
      </w:r>
      <w:r w:rsidR="00EB4E44">
        <w:rPr>
          <w:rFonts w:ascii="Times New Roman" w:hAnsi="Times New Roman"/>
          <w:spacing w:val="-3"/>
          <w:sz w:val="24"/>
          <w:szCs w:val="24"/>
        </w:rPr>
        <w:t xml:space="preserve">způsobu </w:t>
      </w:r>
      <w:r w:rsidR="00E219D4">
        <w:rPr>
          <w:rFonts w:ascii="Times New Roman" w:hAnsi="Times New Roman"/>
          <w:spacing w:val="-3"/>
          <w:sz w:val="24"/>
          <w:szCs w:val="24"/>
        </w:rPr>
        <w:t>nastavení systému</w:t>
      </w:r>
      <w:r w:rsidRPr="008B2F3C">
        <w:rPr>
          <w:rFonts w:ascii="Times New Roman" w:hAnsi="Times New Roman"/>
          <w:spacing w:val="-3"/>
          <w:sz w:val="24"/>
          <w:szCs w:val="24"/>
        </w:rPr>
        <w:t xml:space="preserve"> vzájemné komunikace mezi Ministerstvem spravedlnosti a</w:t>
      </w:r>
      <w:r w:rsidR="00E219D4">
        <w:rPr>
          <w:rFonts w:ascii="Times New Roman" w:hAnsi="Times New Roman"/>
          <w:spacing w:val="-3"/>
          <w:sz w:val="24"/>
          <w:szCs w:val="24"/>
        </w:rPr>
        <w:t> </w:t>
      </w:r>
      <w:r w:rsidRPr="008B2F3C">
        <w:rPr>
          <w:rFonts w:ascii="Times New Roman" w:hAnsi="Times New Roman"/>
          <w:spacing w:val="-3"/>
          <w:sz w:val="24"/>
          <w:szCs w:val="24"/>
        </w:rPr>
        <w:t xml:space="preserve">Úřadem pro zastupování státu ve věcech majetkových </w:t>
      </w:r>
      <w:r w:rsidR="007103D0">
        <w:rPr>
          <w:rFonts w:ascii="Times New Roman" w:hAnsi="Times New Roman"/>
          <w:spacing w:val="-3"/>
          <w:sz w:val="24"/>
          <w:szCs w:val="24"/>
        </w:rPr>
        <w:t>ve věci</w:t>
      </w:r>
      <w:r w:rsidRPr="008B2F3C">
        <w:rPr>
          <w:rFonts w:ascii="Times New Roman" w:hAnsi="Times New Roman"/>
          <w:spacing w:val="-3"/>
          <w:sz w:val="24"/>
          <w:szCs w:val="24"/>
        </w:rPr>
        <w:t xml:space="preserve"> oceňování nemovitostí a</w:t>
      </w:r>
      <w:r w:rsidR="00E219D4">
        <w:rPr>
          <w:rFonts w:ascii="Times New Roman" w:hAnsi="Times New Roman"/>
          <w:spacing w:val="-3"/>
          <w:sz w:val="24"/>
          <w:szCs w:val="24"/>
        </w:rPr>
        <w:t> </w:t>
      </w:r>
      <w:r w:rsidRPr="008B2F3C">
        <w:rPr>
          <w:rFonts w:ascii="Times New Roman" w:hAnsi="Times New Roman"/>
          <w:spacing w:val="-3"/>
          <w:sz w:val="24"/>
          <w:szCs w:val="24"/>
        </w:rPr>
        <w:t>majetku státu</w:t>
      </w:r>
      <w:r w:rsidR="00E219D4">
        <w:rPr>
          <w:rFonts w:ascii="Times New Roman" w:hAnsi="Times New Roman"/>
          <w:spacing w:val="-3"/>
          <w:sz w:val="24"/>
          <w:szCs w:val="24"/>
        </w:rPr>
        <w:t xml:space="preserve"> ve sporných případech</w:t>
      </w:r>
      <w:r w:rsidRPr="008B2F3C">
        <w:rPr>
          <w:rFonts w:ascii="Times New Roman" w:hAnsi="Times New Roman"/>
          <w:spacing w:val="-3"/>
          <w:sz w:val="24"/>
          <w:szCs w:val="24"/>
        </w:rPr>
        <w:t>;</w:t>
      </w:r>
    </w:p>
    <w:p w14:paraId="0F08A670" w14:textId="77777777" w:rsidR="008F4D6E" w:rsidRPr="008F4D6E" w:rsidRDefault="008F4D6E" w:rsidP="008F4D6E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bookmarkEnd w:id="0"/>
    <w:p w14:paraId="2DCC592F" w14:textId="77777777" w:rsidR="00F57D31" w:rsidRPr="008B2F3C" w:rsidRDefault="00F57D31" w:rsidP="00F57D31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2CE546E" w14:textId="397FE453" w:rsidR="000531C2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B2F3C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výboru, aby s tímto usnesením seznámil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předsedu Kontrolního výboru</w:t>
      </w:r>
      <w:r w:rsidR="00CD6F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ministra spravedlnosti, generální ředitelku Úřadu pro zastupování státu ve věcech majetkových a předsedu Svazu měst a obcí</w:t>
      </w:r>
      <w:r w:rsidR="008F4D6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ČR</w:t>
      </w:r>
      <w:r w:rsidR="00CD6F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14:paraId="741F1D93" w14:textId="77777777" w:rsidR="008F4D6E" w:rsidRPr="008F4D6E" w:rsidRDefault="008F4D6E" w:rsidP="008F4D6E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1F931E6C" w14:textId="77777777" w:rsidR="00CD6F74" w:rsidRPr="00142EEC" w:rsidRDefault="00CD6F74" w:rsidP="00CD6F74">
      <w:pPr>
        <w:jc w:val="both"/>
        <w:rPr>
          <w:rFonts w:ascii="Times New Roman" w:hAnsi="Times New Roman"/>
          <w:sz w:val="24"/>
          <w:szCs w:val="24"/>
        </w:rPr>
      </w:pPr>
    </w:p>
    <w:p w14:paraId="6E49E20D" w14:textId="1964CCF1" w:rsidR="000531C2" w:rsidRPr="00BA1586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konstatuje,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 xml:space="preserve">že toto usnesení je </w:t>
      </w:r>
      <w:r w:rsidRPr="00F70BA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veřejné.</w:t>
      </w:r>
    </w:p>
    <w:p w14:paraId="237BB9B4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5C8FF1C0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1E6FCB82" w14:textId="37200CE0" w:rsidR="00050051" w:rsidRDefault="00050051" w:rsidP="00681B7E">
      <w:pPr>
        <w:rPr>
          <w:rFonts w:ascii="Times New Roman" w:hAnsi="Times New Roman"/>
          <w:sz w:val="24"/>
          <w:szCs w:val="24"/>
        </w:rPr>
      </w:pPr>
    </w:p>
    <w:p w14:paraId="639AC843" w14:textId="5F49A2B2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26F3672C" w14:textId="6698FC8D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p w14:paraId="74E45F6D" w14:textId="782DC82A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p w14:paraId="0F64DEEF" w14:textId="2BC92B0D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0573FA3A" w:rsidR="00257372" w:rsidRPr="00A12192" w:rsidRDefault="00F67DE0" w:rsidP="00152535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EF6F15">
              <w:rPr>
                <w:spacing w:val="-4"/>
              </w:rPr>
              <w:t xml:space="preserve"> </w:t>
            </w:r>
            <w:r w:rsidR="00A04B82">
              <w:rPr>
                <w:spacing w:val="-4"/>
              </w:rPr>
              <w:t>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61260717" w:rsidR="00257372" w:rsidRPr="00A12192" w:rsidRDefault="00257372" w:rsidP="00152535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EF6F15">
              <w:rPr>
                <w:spacing w:val="-4"/>
              </w:rPr>
              <w:t xml:space="preserve"> </w:t>
            </w:r>
            <w:r w:rsidR="00A04B82">
              <w:rPr>
                <w:spacing w:val="-4"/>
              </w:rPr>
              <w:t>v. r.</w:t>
            </w:r>
            <w:bookmarkStart w:id="1" w:name="_GoBack"/>
            <w:bookmarkEnd w:id="1"/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78DA5696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F67DE0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7275531A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514538">
              <w:rPr>
                <w:spacing w:val="-4"/>
              </w:rPr>
              <w:t>– zpravodaj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Pr="00142EEC" w:rsidRDefault="00417D70" w:rsidP="00142EEC">
      <w:pPr>
        <w:rPr>
          <w:rFonts w:ascii="Times New Roman" w:hAnsi="Times New Roman"/>
          <w:sz w:val="24"/>
          <w:szCs w:val="24"/>
        </w:rPr>
      </w:pPr>
    </w:p>
    <w:sectPr w:rsidR="00417D70" w:rsidRPr="00142EEC" w:rsidSect="00CD6F7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4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20"/>
  </w:num>
  <w:num w:numId="17">
    <w:abstractNumId w:val="13"/>
  </w:num>
  <w:num w:numId="18">
    <w:abstractNumId w:val="27"/>
  </w:num>
  <w:num w:numId="19">
    <w:abstractNumId w:val="26"/>
  </w:num>
  <w:num w:numId="20">
    <w:abstractNumId w:val="28"/>
  </w:num>
  <w:num w:numId="21">
    <w:abstractNumId w:val="24"/>
  </w:num>
  <w:num w:numId="22">
    <w:abstractNumId w:val="25"/>
  </w:num>
  <w:num w:numId="23">
    <w:abstractNumId w:val="18"/>
  </w:num>
  <w:num w:numId="24">
    <w:abstractNumId w:val="14"/>
  </w:num>
  <w:num w:numId="25">
    <w:abstractNumId w:val="10"/>
  </w:num>
  <w:num w:numId="26">
    <w:abstractNumId w:val="19"/>
  </w:num>
  <w:num w:numId="27">
    <w:abstractNumId w:val="23"/>
  </w:num>
  <w:num w:numId="28">
    <w:abstractNumId w:val="1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32F50"/>
    <w:rsid w:val="000476E4"/>
    <w:rsid w:val="00047BAD"/>
    <w:rsid w:val="00050051"/>
    <w:rsid w:val="000531C2"/>
    <w:rsid w:val="00070160"/>
    <w:rsid w:val="00083773"/>
    <w:rsid w:val="00094F9B"/>
    <w:rsid w:val="000C2EDF"/>
    <w:rsid w:val="000C5278"/>
    <w:rsid w:val="000E5DA4"/>
    <w:rsid w:val="000E730C"/>
    <w:rsid w:val="000F37BA"/>
    <w:rsid w:val="000F4EB0"/>
    <w:rsid w:val="0010083E"/>
    <w:rsid w:val="00103C04"/>
    <w:rsid w:val="001051F4"/>
    <w:rsid w:val="00106842"/>
    <w:rsid w:val="00142EEC"/>
    <w:rsid w:val="00147C40"/>
    <w:rsid w:val="00152535"/>
    <w:rsid w:val="0017246F"/>
    <w:rsid w:val="00175613"/>
    <w:rsid w:val="0017564B"/>
    <w:rsid w:val="001B45F3"/>
    <w:rsid w:val="001C25DB"/>
    <w:rsid w:val="001C4373"/>
    <w:rsid w:val="001D0461"/>
    <w:rsid w:val="001E0F32"/>
    <w:rsid w:val="001F5F9C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3B8E"/>
    <w:rsid w:val="00356011"/>
    <w:rsid w:val="003645C0"/>
    <w:rsid w:val="00374A7E"/>
    <w:rsid w:val="00377253"/>
    <w:rsid w:val="00393D3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14538"/>
    <w:rsid w:val="005227BF"/>
    <w:rsid w:val="005516B7"/>
    <w:rsid w:val="00555BC1"/>
    <w:rsid w:val="00566A4C"/>
    <w:rsid w:val="005753FF"/>
    <w:rsid w:val="00584F5A"/>
    <w:rsid w:val="005974FF"/>
    <w:rsid w:val="005A1784"/>
    <w:rsid w:val="005B1CE7"/>
    <w:rsid w:val="005C30D7"/>
    <w:rsid w:val="005D6810"/>
    <w:rsid w:val="005E094C"/>
    <w:rsid w:val="005F6CAE"/>
    <w:rsid w:val="00620764"/>
    <w:rsid w:val="00681B7E"/>
    <w:rsid w:val="006C56A9"/>
    <w:rsid w:val="007103D0"/>
    <w:rsid w:val="007329DF"/>
    <w:rsid w:val="00737D54"/>
    <w:rsid w:val="00757DA2"/>
    <w:rsid w:val="00760781"/>
    <w:rsid w:val="00780A80"/>
    <w:rsid w:val="00790C17"/>
    <w:rsid w:val="007A6D9F"/>
    <w:rsid w:val="007B5C01"/>
    <w:rsid w:val="007C3640"/>
    <w:rsid w:val="007C478F"/>
    <w:rsid w:val="007C62DA"/>
    <w:rsid w:val="007D5767"/>
    <w:rsid w:val="007D5EE1"/>
    <w:rsid w:val="007E1D0B"/>
    <w:rsid w:val="007E7ED4"/>
    <w:rsid w:val="007F490B"/>
    <w:rsid w:val="00802261"/>
    <w:rsid w:val="00812496"/>
    <w:rsid w:val="00830BFE"/>
    <w:rsid w:val="008630E5"/>
    <w:rsid w:val="00867FDB"/>
    <w:rsid w:val="00886EFC"/>
    <w:rsid w:val="00893C29"/>
    <w:rsid w:val="008B2F3C"/>
    <w:rsid w:val="008B6267"/>
    <w:rsid w:val="008C236C"/>
    <w:rsid w:val="008C3336"/>
    <w:rsid w:val="008D0D4D"/>
    <w:rsid w:val="008F4D6E"/>
    <w:rsid w:val="008F7E63"/>
    <w:rsid w:val="00903269"/>
    <w:rsid w:val="009A33AF"/>
    <w:rsid w:val="009C00DB"/>
    <w:rsid w:val="00A005A2"/>
    <w:rsid w:val="00A04B82"/>
    <w:rsid w:val="00A12192"/>
    <w:rsid w:val="00A13A9D"/>
    <w:rsid w:val="00A46CDA"/>
    <w:rsid w:val="00A60C35"/>
    <w:rsid w:val="00A70588"/>
    <w:rsid w:val="00A71DC9"/>
    <w:rsid w:val="00AA0D27"/>
    <w:rsid w:val="00AB037C"/>
    <w:rsid w:val="00AE4F9E"/>
    <w:rsid w:val="00AE550D"/>
    <w:rsid w:val="00B01B11"/>
    <w:rsid w:val="00B073AA"/>
    <w:rsid w:val="00B13892"/>
    <w:rsid w:val="00B2712C"/>
    <w:rsid w:val="00B53E8D"/>
    <w:rsid w:val="00B639E2"/>
    <w:rsid w:val="00B715B6"/>
    <w:rsid w:val="00BC3BBA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CD6F74"/>
    <w:rsid w:val="00D76FB3"/>
    <w:rsid w:val="00DB6F85"/>
    <w:rsid w:val="00DC29E4"/>
    <w:rsid w:val="00DC685F"/>
    <w:rsid w:val="00E219D4"/>
    <w:rsid w:val="00E441C6"/>
    <w:rsid w:val="00E633A3"/>
    <w:rsid w:val="00E64B7C"/>
    <w:rsid w:val="00E9220C"/>
    <w:rsid w:val="00EA313F"/>
    <w:rsid w:val="00EA4238"/>
    <w:rsid w:val="00EB4E44"/>
    <w:rsid w:val="00EC27F7"/>
    <w:rsid w:val="00EC3137"/>
    <w:rsid w:val="00ED15A8"/>
    <w:rsid w:val="00ED396E"/>
    <w:rsid w:val="00EF3B15"/>
    <w:rsid w:val="00EF679B"/>
    <w:rsid w:val="00EF6F15"/>
    <w:rsid w:val="00F57D31"/>
    <w:rsid w:val="00F67DE0"/>
    <w:rsid w:val="00F70BA4"/>
    <w:rsid w:val="00F75150"/>
    <w:rsid w:val="00F94654"/>
    <w:rsid w:val="00FD0352"/>
    <w:rsid w:val="00FE1EA1"/>
    <w:rsid w:val="00FE2BF1"/>
    <w:rsid w:val="00FF083C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  <w:style w:type="paragraph" w:customStyle="1" w:styleId="Standard">
    <w:name w:val="Standard"/>
    <w:rsid w:val="00B271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C672-7850-4550-B33C-8A413EC0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93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Ivana Švarcová</cp:lastModifiedBy>
  <cp:revision>29</cp:revision>
  <cp:lastPrinted>2023-06-05T12:25:00Z</cp:lastPrinted>
  <dcterms:created xsi:type="dcterms:W3CDTF">2023-04-03T13:08:00Z</dcterms:created>
  <dcterms:modified xsi:type="dcterms:W3CDTF">2023-06-05T12:25:00Z</dcterms:modified>
</cp:coreProperties>
</file>