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0AE2" w14:textId="77777777" w:rsidR="00212E8D" w:rsidRPr="0093259C" w:rsidRDefault="00212E8D" w:rsidP="00212E8D">
      <w:pPr>
        <w:spacing w:before="120" w:after="0" w:line="240" w:lineRule="auto"/>
        <w:jc w:val="center"/>
        <w:rPr>
          <w:rFonts w:ascii="Arial" w:hAnsi="Arial" w:cs="Arial"/>
          <w:b/>
        </w:rPr>
      </w:pPr>
      <w:r w:rsidRPr="0093259C">
        <w:rPr>
          <w:rFonts w:ascii="Arial" w:hAnsi="Arial" w:cs="Arial"/>
          <w:b/>
        </w:rPr>
        <w:t>Stanovisko Ministerstva životního prostředí</w:t>
      </w:r>
    </w:p>
    <w:p w14:paraId="1CAD50A7" w14:textId="77777777" w:rsidR="00212E8D" w:rsidRPr="0093259C" w:rsidRDefault="00212E8D" w:rsidP="00212E8D">
      <w:pPr>
        <w:pStyle w:val="nadpiszkona"/>
        <w:rPr>
          <w:rFonts w:ascii="Arial" w:hAnsi="Arial" w:cs="Arial"/>
          <w:sz w:val="22"/>
          <w:szCs w:val="22"/>
        </w:rPr>
      </w:pPr>
      <w:r w:rsidRPr="0093259C">
        <w:rPr>
          <w:rFonts w:ascii="Arial" w:hAnsi="Arial" w:cs="Arial"/>
          <w:sz w:val="22"/>
          <w:szCs w:val="22"/>
        </w:rPr>
        <w:t xml:space="preserve">k pozměňovacím návrhům předloženým v rámci </w:t>
      </w:r>
      <w:r>
        <w:rPr>
          <w:rFonts w:ascii="Arial" w:hAnsi="Arial" w:cs="Arial"/>
          <w:sz w:val="22"/>
          <w:szCs w:val="22"/>
        </w:rPr>
        <w:t>2. čtení</w:t>
      </w:r>
    </w:p>
    <w:p w14:paraId="3B2EF0C0" w14:textId="77777777" w:rsidR="00A26C18" w:rsidRPr="00A26C18" w:rsidRDefault="00212E8D" w:rsidP="00A26C18">
      <w:pPr>
        <w:spacing w:before="120" w:after="0" w:line="240" w:lineRule="auto"/>
        <w:jc w:val="center"/>
        <w:rPr>
          <w:rFonts w:ascii="Arial" w:hAnsi="Arial" w:cs="Arial"/>
          <w:b/>
        </w:rPr>
      </w:pPr>
      <w:r w:rsidRPr="00E64531">
        <w:rPr>
          <w:rFonts w:ascii="Arial" w:hAnsi="Arial" w:cs="Arial"/>
          <w:b/>
        </w:rPr>
        <w:t>k vládnímu návrhu zákona</w:t>
      </w:r>
      <w:r w:rsidR="00A26C18">
        <w:rPr>
          <w:rFonts w:ascii="Arial" w:hAnsi="Arial" w:cs="Arial"/>
          <w:b/>
        </w:rPr>
        <w:t xml:space="preserve">, </w:t>
      </w:r>
      <w:r w:rsidR="00A26C18" w:rsidRPr="00A26C18">
        <w:rPr>
          <w:rFonts w:ascii="Arial" w:hAnsi="Arial" w:cs="Arial"/>
          <w:b/>
        </w:rPr>
        <w:t xml:space="preserve">kterým se mění některé zákony v souvislosti s přijetím zákona o omezení dopadu vybraných plastových výrobků na životní prostředí </w:t>
      </w:r>
    </w:p>
    <w:p w14:paraId="053EB3FF" w14:textId="6D7177A4" w:rsidR="00CC508C" w:rsidRPr="0093259C" w:rsidRDefault="00212E8D" w:rsidP="00F614EC">
      <w:pPr>
        <w:spacing w:before="120" w:after="0" w:line="240" w:lineRule="auto"/>
        <w:jc w:val="center"/>
        <w:rPr>
          <w:rFonts w:ascii="Arial" w:hAnsi="Arial" w:cs="Arial"/>
          <w:b/>
        </w:rPr>
      </w:pPr>
      <w:r w:rsidRPr="0093259C">
        <w:rPr>
          <w:rFonts w:ascii="Arial" w:hAnsi="Arial" w:cs="Arial"/>
          <w:b/>
        </w:rPr>
        <w:t xml:space="preserve"> </w:t>
      </w:r>
      <w:r>
        <w:rPr>
          <w:rFonts w:ascii="Arial" w:hAnsi="Arial" w:cs="Arial"/>
          <w:b/>
        </w:rPr>
        <w:t xml:space="preserve">(sněmovní tisk č. </w:t>
      </w:r>
      <w:r w:rsidR="00257C34">
        <w:rPr>
          <w:rFonts w:ascii="Arial" w:hAnsi="Arial" w:cs="Arial"/>
          <w:b/>
        </w:rPr>
        <w:t>5</w:t>
      </w:r>
      <w:r w:rsidR="00A26C18">
        <w:rPr>
          <w:rFonts w:ascii="Arial" w:hAnsi="Arial" w:cs="Arial"/>
          <w:b/>
        </w:rPr>
        <w:t>6</w:t>
      </w:r>
      <w:r w:rsidRPr="0093259C">
        <w:rPr>
          <w:rFonts w:ascii="Arial" w:hAnsi="Arial" w:cs="Arial"/>
          <w:b/>
        </w:rPr>
        <w:t>)</w:t>
      </w:r>
    </w:p>
    <w:tbl>
      <w:tblPr>
        <w:tblpPr w:leftFromText="142" w:rightFromText="142" w:vertAnchor="page" w:horzAnchor="margin" w:tblpX="-577" w:tblpY="3743"/>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1843"/>
        <w:gridCol w:w="7973"/>
        <w:gridCol w:w="4926"/>
      </w:tblGrid>
      <w:tr w:rsidR="009E24BF" w:rsidRPr="0093259C" w14:paraId="3DCF4717" w14:textId="77777777" w:rsidTr="004F6003">
        <w:trPr>
          <w:trHeight w:val="475"/>
        </w:trPr>
        <w:tc>
          <w:tcPr>
            <w:tcW w:w="704" w:type="dxa"/>
            <w:shd w:val="clear" w:color="auto" w:fill="92D050"/>
          </w:tcPr>
          <w:p w14:paraId="68B24847" w14:textId="77777777" w:rsidR="009E24BF" w:rsidRDefault="009E24BF" w:rsidP="004F6003">
            <w:pPr>
              <w:spacing w:before="120" w:after="0" w:line="240" w:lineRule="auto"/>
              <w:rPr>
                <w:rFonts w:ascii="Arial" w:hAnsi="Arial" w:cs="Arial"/>
                <w:b/>
              </w:rPr>
            </w:pPr>
          </w:p>
        </w:tc>
        <w:tc>
          <w:tcPr>
            <w:tcW w:w="1843" w:type="dxa"/>
            <w:shd w:val="clear" w:color="auto" w:fill="92D050"/>
          </w:tcPr>
          <w:p w14:paraId="518BFDED" w14:textId="012E4FA6" w:rsidR="009E24BF" w:rsidRPr="0093259C" w:rsidRDefault="009E24BF" w:rsidP="004F6003">
            <w:pPr>
              <w:spacing w:before="120" w:after="0" w:line="240" w:lineRule="auto"/>
              <w:rPr>
                <w:rFonts w:ascii="Arial" w:hAnsi="Arial" w:cs="Arial"/>
                <w:b/>
              </w:rPr>
            </w:pPr>
            <w:r>
              <w:rPr>
                <w:rFonts w:ascii="Arial" w:hAnsi="Arial" w:cs="Arial"/>
                <w:b/>
              </w:rPr>
              <w:t>Předkladatel pozměňovacího návrhu</w:t>
            </w:r>
          </w:p>
        </w:tc>
        <w:tc>
          <w:tcPr>
            <w:tcW w:w="7973" w:type="dxa"/>
            <w:shd w:val="clear" w:color="auto" w:fill="92D050"/>
          </w:tcPr>
          <w:p w14:paraId="02995817" w14:textId="77777777" w:rsidR="009E24BF" w:rsidRPr="0093259C" w:rsidRDefault="009E24BF" w:rsidP="004F6003">
            <w:pPr>
              <w:spacing w:before="120" w:after="0" w:line="240" w:lineRule="auto"/>
              <w:rPr>
                <w:rFonts w:ascii="Arial" w:hAnsi="Arial" w:cs="Arial"/>
                <w:b/>
              </w:rPr>
            </w:pPr>
            <w:r w:rsidRPr="0093259C">
              <w:rPr>
                <w:rFonts w:ascii="Arial" w:hAnsi="Arial" w:cs="Arial"/>
                <w:b/>
              </w:rPr>
              <w:t>Pozměňovací návrh</w:t>
            </w:r>
          </w:p>
        </w:tc>
        <w:tc>
          <w:tcPr>
            <w:tcW w:w="4926" w:type="dxa"/>
            <w:shd w:val="clear" w:color="auto" w:fill="92D050"/>
          </w:tcPr>
          <w:p w14:paraId="4FD51D3B" w14:textId="65739A49" w:rsidR="009E24BF" w:rsidRPr="0093259C" w:rsidRDefault="009E24BF" w:rsidP="004F6003">
            <w:pPr>
              <w:spacing w:before="120" w:after="0" w:line="240" w:lineRule="auto"/>
              <w:rPr>
                <w:rFonts w:ascii="Arial" w:hAnsi="Arial" w:cs="Arial"/>
                <w:b/>
              </w:rPr>
            </w:pPr>
            <w:r w:rsidRPr="0093259C">
              <w:rPr>
                <w:rFonts w:ascii="Arial" w:hAnsi="Arial" w:cs="Arial"/>
                <w:b/>
              </w:rPr>
              <w:t>Stanovisko MŽP</w:t>
            </w:r>
            <w:r>
              <w:rPr>
                <w:rFonts w:ascii="Arial" w:hAnsi="Arial" w:cs="Arial"/>
                <w:b/>
              </w:rPr>
              <w:t xml:space="preserve"> uplatněné k předloženému návrhu</w:t>
            </w:r>
          </w:p>
        </w:tc>
      </w:tr>
      <w:tr w:rsidR="009E24BF" w:rsidRPr="0093259C" w14:paraId="09796DCD" w14:textId="77777777" w:rsidTr="004F6003">
        <w:trPr>
          <w:trHeight w:val="475"/>
        </w:trPr>
        <w:tc>
          <w:tcPr>
            <w:tcW w:w="704" w:type="dxa"/>
            <w:shd w:val="clear" w:color="auto" w:fill="FFFF00"/>
          </w:tcPr>
          <w:p w14:paraId="7CC8192E" w14:textId="72C6E2C6" w:rsidR="009E24BF" w:rsidRDefault="009E24BF" w:rsidP="004F6003">
            <w:pPr>
              <w:spacing w:before="120" w:after="0" w:line="240" w:lineRule="auto"/>
              <w:rPr>
                <w:rFonts w:ascii="Arial" w:hAnsi="Arial" w:cs="Arial"/>
                <w:b/>
              </w:rPr>
            </w:pPr>
            <w:r>
              <w:rPr>
                <w:rFonts w:ascii="Arial" w:hAnsi="Arial" w:cs="Arial"/>
                <w:b/>
              </w:rPr>
              <w:t>A</w:t>
            </w:r>
          </w:p>
        </w:tc>
        <w:tc>
          <w:tcPr>
            <w:tcW w:w="14742" w:type="dxa"/>
            <w:gridSpan w:val="3"/>
            <w:shd w:val="clear" w:color="auto" w:fill="FFFF00"/>
          </w:tcPr>
          <w:p w14:paraId="76A1BDF9" w14:textId="1C01FBA5" w:rsidR="00F20416" w:rsidRDefault="009E24BF" w:rsidP="00862508">
            <w:pPr>
              <w:spacing w:after="0" w:line="240" w:lineRule="auto"/>
              <w:jc w:val="both"/>
              <w:rPr>
                <w:rFonts w:ascii="Arial" w:hAnsi="Arial" w:cs="Arial"/>
                <w:b/>
              </w:rPr>
            </w:pPr>
            <w:r w:rsidRPr="0093259C">
              <w:rPr>
                <w:rFonts w:ascii="Arial" w:hAnsi="Arial" w:cs="Arial"/>
                <w:b/>
              </w:rPr>
              <w:t xml:space="preserve">Pozměňovací návrhy </w:t>
            </w:r>
            <w:r>
              <w:rPr>
                <w:rFonts w:ascii="Arial" w:hAnsi="Arial" w:cs="Arial"/>
                <w:b/>
              </w:rPr>
              <w:t xml:space="preserve">obsažené v usnesení garančního výboru </w:t>
            </w:r>
            <w:r w:rsidRPr="0093259C">
              <w:rPr>
                <w:rFonts w:ascii="Arial" w:hAnsi="Arial" w:cs="Arial"/>
                <w:b/>
              </w:rPr>
              <w:t>pro životní prostředí</w:t>
            </w:r>
            <w:r>
              <w:rPr>
                <w:rFonts w:ascii="Arial" w:hAnsi="Arial" w:cs="Arial"/>
                <w:b/>
              </w:rPr>
              <w:t xml:space="preserve"> </w:t>
            </w:r>
            <w:r w:rsidR="003D03D5">
              <w:rPr>
                <w:rFonts w:ascii="Arial" w:hAnsi="Arial" w:cs="Arial"/>
                <w:b/>
              </w:rPr>
              <w:t xml:space="preserve">č. </w:t>
            </w:r>
            <w:r w:rsidR="004A1F99">
              <w:rPr>
                <w:rFonts w:ascii="Arial" w:hAnsi="Arial" w:cs="Arial"/>
                <w:b/>
              </w:rPr>
              <w:t>3</w:t>
            </w:r>
            <w:r w:rsidR="00A26C18">
              <w:rPr>
                <w:rFonts w:ascii="Arial" w:hAnsi="Arial" w:cs="Arial"/>
                <w:b/>
              </w:rPr>
              <w:t>8</w:t>
            </w:r>
            <w:r w:rsidR="003D03D5">
              <w:rPr>
                <w:rFonts w:ascii="Arial" w:hAnsi="Arial" w:cs="Arial"/>
                <w:b/>
              </w:rPr>
              <w:t xml:space="preserve"> z</w:t>
            </w:r>
            <w:r w:rsidR="004A1F99">
              <w:rPr>
                <w:rFonts w:ascii="Arial" w:hAnsi="Arial" w:cs="Arial"/>
                <w:b/>
              </w:rPr>
              <w:t>e</w:t>
            </w:r>
            <w:r w:rsidR="003D03D5">
              <w:rPr>
                <w:rFonts w:ascii="Arial" w:hAnsi="Arial" w:cs="Arial"/>
                <w:b/>
              </w:rPr>
              <w:t xml:space="preserve"> 7</w:t>
            </w:r>
            <w:r w:rsidR="00212E8D">
              <w:rPr>
                <w:rFonts w:ascii="Arial" w:hAnsi="Arial" w:cs="Arial"/>
                <w:b/>
              </w:rPr>
              <w:t xml:space="preserve">. schůze konané dne 13. </w:t>
            </w:r>
            <w:r w:rsidR="00B648B4">
              <w:rPr>
                <w:rFonts w:ascii="Arial" w:hAnsi="Arial" w:cs="Arial"/>
                <w:b/>
              </w:rPr>
              <w:t>4</w:t>
            </w:r>
            <w:r w:rsidR="00212E8D">
              <w:rPr>
                <w:rFonts w:ascii="Arial" w:hAnsi="Arial" w:cs="Arial"/>
                <w:b/>
              </w:rPr>
              <w:t>. 202</w:t>
            </w:r>
            <w:r w:rsidR="00B648B4">
              <w:rPr>
                <w:rFonts w:ascii="Arial" w:hAnsi="Arial" w:cs="Arial"/>
                <w:b/>
              </w:rPr>
              <w:t>2</w:t>
            </w:r>
            <w:r>
              <w:rPr>
                <w:rFonts w:ascii="Arial" w:hAnsi="Arial" w:cs="Arial"/>
                <w:b/>
              </w:rPr>
              <w:t xml:space="preserve"> </w:t>
            </w:r>
          </w:p>
          <w:p w14:paraId="23B247CE" w14:textId="7CB5707E" w:rsidR="009E24BF" w:rsidRPr="0093259C" w:rsidRDefault="00212E8D" w:rsidP="00862508">
            <w:pPr>
              <w:spacing w:after="0" w:line="240" w:lineRule="auto"/>
              <w:jc w:val="both"/>
              <w:rPr>
                <w:rFonts w:ascii="Arial" w:hAnsi="Arial" w:cs="Arial"/>
                <w:b/>
              </w:rPr>
            </w:pPr>
            <w:r>
              <w:rPr>
                <w:rFonts w:ascii="Arial" w:hAnsi="Arial" w:cs="Arial"/>
                <w:b/>
              </w:rPr>
              <w:t xml:space="preserve">(ST </w:t>
            </w:r>
            <w:r w:rsidR="004A1F99">
              <w:rPr>
                <w:rFonts w:ascii="Arial" w:hAnsi="Arial" w:cs="Arial"/>
                <w:b/>
              </w:rPr>
              <w:t>5</w:t>
            </w:r>
            <w:r w:rsidR="00A26C18">
              <w:rPr>
                <w:rFonts w:ascii="Arial" w:hAnsi="Arial" w:cs="Arial"/>
                <w:b/>
              </w:rPr>
              <w:t>6</w:t>
            </w:r>
            <w:r>
              <w:rPr>
                <w:rFonts w:ascii="Arial" w:hAnsi="Arial" w:cs="Arial"/>
                <w:b/>
              </w:rPr>
              <w:t>/</w:t>
            </w:r>
            <w:r w:rsidR="004A1F99">
              <w:rPr>
                <w:rFonts w:ascii="Arial" w:hAnsi="Arial" w:cs="Arial"/>
                <w:b/>
              </w:rPr>
              <w:t>2</w:t>
            </w:r>
            <w:r w:rsidR="009E24BF">
              <w:rPr>
                <w:rFonts w:ascii="Arial" w:hAnsi="Arial" w:cs="Arial"/>
                <w:b/>
              </w:rPr>
              <w:t>)</w:t>
            </w:r>
          </w:p>
        </w:tc>
      </w:tr>
      <w:tr w:rsidR="009E24BF" w:rsidRPr="0093259C" w14:paraId="7546807D" w14:textId="77777777" w:rsidTr="004F6003">
        <w:trPr>
          <w:trHeight w:val="475"/>
        </w:trPr>
        <w:tc>
          <w:tcPr>
            <w:tcW w:w="704" w:type="dxa"/>
          </w:tcPr>
          <w:p w14:paraId="3E00ACB5" w14:textId="0F9B72D0" w:rsidR="009E24BF" w:rsidRDefault="009E24BF" w:rsidP="006C5FC6">
            <w:pPr>
              <w:spacing w:before="120" w:after="0" w:line="240" w:lineRule="auto"/>
              <w:rPr>
                <w:rFonts w:ascii="Arial" w:hAnsi="Arial" w:cs="Arial"/>
                <w:b/>
              </w:rPr>
            </w:pPr>
            <w:r w:rsidRPr="009E24BF">
              <w:rPr>
                <w:rFonts w:ascii="Arial" w:hAnsi="Arial" w:cs="Arial"/>
                <w:b/>
              </w:rPr>
              <w:t>A.1</w:t>
            </w:r>
            <w:r w:rsidR="0048277F">
              <w:rPr>
                <w:rFonts w:ascii="Arial" w:hAnsi="Arial" w:cs="Arial"/>
                <w:b/>
              </w:rPr>
              <w:t>.</w:t>
            </w:r>
          </w:p>
        </w:tc>
        <w:tc>
          <w:tcPr>
            <w:tcW w:w="1843" w:type="dxa"/>
          </w:tcPr>
          <w:p w14:paraId="53E701FD" w14:textId="09C98ABB" w:rsidR="009E24BF" w:rsidRPr="0093259C" w:rsidRDefault="009E24BF" w:rsidP="004F6003">
            <w:pPr>
              <w:spacing w:before="120" w:after="0" w:line="240" w:lineRule="auto"/>
              <w:rPr>
                <w:rFonts w:ascii="Arial" w:hAnsi="Arial" w:cs="Arial"/>
                <w:b/>
              </w:rPr>
            </w:pPr>
          </w:p>
        </w:tc>
        <w:tc>
          <w:tcPr>
            <w:tcW w:w="7973" w:type="dxa"/>
          </w:tcPr>
          <w:p w14:paraId="75C54717" w14:textId="711E6AED" w:rsidR="009E24BF" w:rsidRPr="00CE716F" w:rsidRDefault="00F566D7" w:rsidP="004F6003">
            <w:pPr>
              <w:spacing w:line="240" w:lineRule="atLeast"/>
              <w:jc w:val="both"/>
              <w:rPr>
                <w:rFonts w:ascii="Arial" w:hAnsi="Arial" w:cs="Arial"/>
              </w:rPr>
            </w:pPr>
            <w:r w:rsidRPr="00F566D7">
              <w:rPr>
                <w:rFonts w:ascii="Arial" w:hAnsi="Arial" w:cs="Arial"/>
              </w:rPr>
              <w:t>V čl. III bodu 16 v § 9 odst. 1 se slova „vratný zálohovaný“ zrušují.</w:t>
            </w:r>
          </w:p>
        </w:tc>
        <w:tc>
          <w:tcPr>
            <w:tcW w:w="4926" w:type="dxa"/>
          </w:tcPr>
          <w:p w14:paraId="0FE9E0DC" w14:textId="77777777" w:rsidR="00CC4823" w:rsidRPr="005F65EB" w:rsidRDefault="00CC4823" w:rsidP="00CC4823">
            <w:pPr>
              <w:jc w:val="both"/>
              <w:rPr>
                <w:rFonts w:ascii="Arial" w:hAnsi="Arial" w:cs="Arial"/>
                <w:b/>
              </w:rPr>
            </w:pPr>
            <w:r w:rsidRPr="005F65EB">
              <w:rPr>
                <w:rFonts w:ascii="Arial" w:hAnsi="Arial" w:cs="Arial"/>
                <w:b/>
              </w:rPr>
              <w:t>Souhlas</w:t>
            </w:r>
          </w:p>
          <w:p w14:paraId="2C452FC6" w14:textId="65FE6C0A" w:rsidR="009E24BF" w:rsidRPr="00212E8D" w:rsidRDefault="007D1270" w:rsidP="00CC4823">
            <w:pPr>
              <w:spacing w:before="120" w:after="0" w:line="240" w:lineRule="auto"/>
              <w:jc w:val="both"/>
              <w:rPr>
                <w:rFonts w:ascii="Arial" w:hAnsi="Arial" w:cs="Arial"/>
              </w:rPr>
            </w:pPr>
            <w:r w:rsidRPr="007D1270">
              <w:rPr>
                <w:rFonts w:ascii="Arial" w:hAnsi="Arial" w:cs="Arial"/>
              </w:rPr>
              <w:t>Legislativně</w:t>
            </w:r>
            <w:r>
              <w:rPr>
                <w:rFonts w:ascii="Arial" w:hAnsi="Arial" w:cs="Arial"/>
              </w:rPr>
              <w:t>-</w:t>
            </w:r>
            <w:r w:rsidRPr="007D1270">
              <w:rPr>
                <w:rFonts w:ascii="Arial" w:hAnsi="Arial" w:cs="Arial"/>
              </w:rPr>
              <w:t>technická úprava. V definici vratného zálohovaného obalu nemůže figurovat pojem „vratný zálohovaný jednorázový obal“, pak se totiž jedná o definici kruhem. Slova „vratný zálohovaný“ zde mohou být vypuštěna, jsou zde nadbytečná.</w:t>
            </w:r>
          </w:p>
        </w:tc>
      </w:tr>
      <w:tr w:rsidR="009E24BF" w:rsidRPr="0093259C" w14:paraId="42552B4B" w14:textId="77777777" w:rsidTr="004F6003">
        <w:trPr>
          <w:trHeight w:val="475"/>
        </w:trPr>
        <w:tc>
          <w:tcPr>
            <w:tcW w:w="704" w:type="dxa"/>
          </w:tcPr>
          <w:p w14:paraId="66AC9636" w14:textId="59905CE5" w:rsidR="009E24BF" w:rsidRDefault="006C5FC6" w:rsidP="004F6003">
            <w:pPr>
              <w:spacing w:before="120" w:after="0" w:line="240" w:lineRule="auto"/>
              <w:rPr>
                <w:rFonts w:ascii="Arial" w:hAnsi="Arial" w:cs="Arial"/>
                <w:b/>
              </w:rPr>
            </w:pPr>
            <w:r>
              <w:rPr>
                <w:rFonts w:ascii="Arial" w:hAnsi="Arial" w:cs="Arial"/>
                <w:b/>
              </w:rPr>
              <w:t>A.2</w:t>
            </w:r>
            <w:r w:rsidR="0048277F">
              <w:rPr>
                <w:rFonts w:ascii="Arial" w:hAnsi="Arial" w:cs="Arial"/>
                <w:b/>
              </w:rPr>
              <w:t>.</w:t>
            </w:r>
          </w:p>
        </w:tc>
        <w:tc>
          <w:tcPr>
            <w:tcW w:w="1843" w:type="dxa"/>
          </w:tcPr>
          <w:p w14:paraId="2CBC3924" w14:textId="6AFDAEBB" w:rsidR="009E24BF" w:rsidRPr="0093259C" w:rsidRDefault="009E24BF" w:rsidP="004F6003">
            <w:pPr>
              <w:spacing w:before="120" w:after="0" w:line="240" w:lineRule="auto"/>
              <w:rPr>
                <w:rFonts w:ascii="Arial" w:hAnsi="Arial" w:cs="Arial"/>
                <w:b/>
              </w:rPr>
            </w:pPr>
          </w:p>
        </w:tc>
        <w:tc>
          <w:tcPr>
            <w:tcW w:w="7973" w:type="dxa"/>
          </w:tcPr>
          <w:p w14:paraId="2C65F559" w14:textId="77777777" w:rsidR="00F566D7" w:rsidRPr="00F566D7" w:rsidRDefault="00F566D7" w:rsidP="00F566D7">
            <w:pPr>
              <w:jc w:val="both"/>
              <w:rPr>
                <w:rFonts w:ascii="Arial" w:hAnsi="Arial" w:cs="Arial"/>
              </w:rPr>
            </w:pPr>
            <w:r w:rsidRPr="00F566D7">
              <w:rPr>
                <w:rFonts w:ascii="Arial" w:hAnsi="Arial" w:cs="Arial"/>
              </w:rPr>
              <w:t>V čl. III se za bod 22 vkládá nový bod X, který zní:</w:t>
            </w:r>
          </w:p>
          <w:p w14:paraId="429422F1" w14:textId="10373B91" w:rsidR="00F566D7" w:rsidRPr="00F566D7" w:rsidRDefault="00F566D7" w:rsidP="00F566D7">
            <w:pPr>
              <w:jc w:val="both"/>
              <w:rPr>
                <w:rFonts w:ascii="Arial" w:hAnsi="Arial" w:cs="Arial"/>
              </w:rPr>
            </w:pPr>
            <w:r w:rsidRPr="00F566D7">
              <w:rPr>
                <w:rFonts w:ascii="Arial" w:hAnsi="Arial" w:cs="Arial"/>
              </w:rPr>
              <w:t xml:space="preserve">„X. V § 10 odst. 4 se za slova „pro odpady z obalů“ vkládají slova </w:t>
            </w:r>
            <w:proofErr w:type="gramStart"/>
            <w:r w:rsidRPr="00F566D7">
              <w:rPr>
                <w:rFonts w:ascii="Arial" w:hAnsi="Arial" w:cs="Arial"/>
              </w:rPr>
              <w:t>„ ,</w:t>
            </w:r>
            <w:proofErr w:type="gramEnd"/>
            <w:r w:rsidRPr="00F566D7">
              <w:rPr>
                <w:rFonts w:ascii="Arial" w:hAnsi="Arial" w:cs="Arial"/>
              </w:rPr>
              <w:t xml:space="preserve"> která tvoří sběrnou síť</w:t>
            </w:r>
            <w:r w:rsidRPr="00F566D7">
              <w:rPr>
                <w:rFonts w:ascii="Arial" w:hAnsi="Arial" w:cs="Arial"/>
              </w:rPr>
              <w:t xml:space="preserve"> </w:t>
            </w:r>
            <w:r w:rsidRPr="00F566D7">
              <w:rPr>
                <w:rFonts w:ascii="Arial" w:hAnsi="Arial" w:cs="Arial"/>
              </w:rPr>
              <w:t>autorizované obalové společnosti,“.“.</w:t>
            </w:r>
          </w:p>
          <w:p w14:paraId="07FA021B" w14:textId="480D58CF" w:rsidR="009E24BF" w:rsidRPr="00CE716F" w:rsidRDefault="00F566D7" w:rsidP="00F566D7">
            <w:pPr>
              <w:jc w:val="both"/>
              <w:rPr>
                <w:rFonts w:ascii="Arial" w:hAnsi="Arial" w:cs="Arial"/>
                <w:b/>
              </w:rPr>
            </w:pPr>
            <w:r w:rsidRPr="00F566D7">
              <w:rPr>
                <w:rFonts w:ascii="Arial" w:hAnsi="Arial" w:cs="Arial"/>
              </w:rPr>
              <w:t>Následující body se přečíslují.</w:t>
            </w:r>
          </w:p>
        </w:tc>
        <w:tc>
          <w:tcPr>
            <w:tcW w:w="4926" w:type="dxa"/>
          </w:tcPr>
          <w:p w14:paraId="2A59E7D5" w14:textId="2682A7D6" w:rsidR="001716C2" w:rsidRPr="005F65EB" w:rsidRDefault="001716C2" w:rsidP="001716C2">
            <w:pPr>
              <w:jc w:val="both"/>
              <w:rPr>
                <w:rFonts w:ascii="Arial" w:hAnsi="Arial" w:cs="Arial"/>
                <w:b/>
              </w:rPr>
            </w:pPr>
            <w:r w:rsidRPr="005F65EB">
              <w:rPr>
                <w:rFonts w:ascii="Arial" w:hAnsi="Arial" w:cs="Arial"/>
                <w:b/>
              </w:rPr>
              <w:t>Souhlas</w:t>
            </w:r>
          </w:p>
          <w:p w14:paraId="1D2F802E" w14:textId="437FE5D4" w:rsidR="009E24BF" w:rsidRPr="0093259C" w:rsidRDefault="00BA2913" w:rsidP="00A06107">
            <w:pPr>
              <w:jc w:val="both"/>
              <w:rPr>
                <w:rFonts w:ascii="Arial" w:hAnsi="Arial" w:cs="Arial"/>
                <w:b/>
              </w:rPr>
            </w:pPr>
            <w:r>
              <w:rPr>
                <w:rFonts w:ascii="Arial" w:hAnsi="Arial" w:cs="Arial"/>
              </w:rPr>
              <w:t xml:space="preserve">Ustanovení § 10 odst. 4 platného znění zákona č. 477/2001 Sb., o </w:t>
            </w:r>
            <w:r w:rsidRPr="00FD6049">
              <w:rPr>
                <w:rFonts w:ascii="Arial" w:hAnsi="Arial" w:cs="Arial"/>
              </w:rPr>
              <w:t>obalech a o změně některých zákonů (zákon o obalech)</w:t>
            </w:r>
            <w:r>
              <w:rPr>
                <w:rFonts w:ascii="Arial" w:hAnsi="Arial" w:cs="Arial"/>
              </w:rPr>
              <w:t xml:space="preserve">, stanovuje, že každé sběrné místo musí být zařazeno do obecního systému odpadového hospodářství. Pokud je ovšem sběrné místo zařazeno do obecního systému, je na základě § 60 odst. 1 zákona č. 541/2020 Sb., o odpadech, nabyvatelem (vlastníkem) tohoto odpadu obec. K tomu, aby se výrobce / provozovatel sběrného místa mohl stát </w:t>
            </w:r>
            <w:r>
              <w:rPr>
                <w:rFonts w:ascii="Arial" w:hAnsi="Arial" w:cs="Arial"/>
              </w:rPr>
              <w:lastRenderedPageBreak/>
              <w:t>vlastníkem odpadu, musel by získat povolení provozu zařízení podle zákona o odpadech. Ustanovení § 10 odst. 4 tak má dopad jak na nově navrhovaný § 9a upravující dobrovolné zálohování, tak i na různé nové způsoby zpětného odběru (pilotní projekty zálohování apod.), které tímto omezuje (pokud se chce provozovatel sběrného místa stát vlastníkem odpadu, musí si obstarat povolení provozu zařízení). Navrhuje se proto ustanovení § 10 odst. 4 vztáhnout pouze na sběrnou síť autorizované obalové společnosti (což byl také původní cíl, proč bylo ustanovení do zákona vloženo, vymezit přesně sběrnou síť autorizované obalové společnosti, resp. žadatelů o autorizaci, jedná se tak pouze o legislativně-technické upřesnění daného ustanovení).</w:t>
            </w:r>
          </w:p>
        </w:tc>
      </w:tr>
      <w:tr w:rsidR="009E24BF" w:rsidRPr="0093259C" w14:paraId="7BA7D070" w14:textId="77777777" w:rsidTr="004F6003">
        <w:trPr>
          <w:trHeight w:val="475"/>
        </w:trPr>
        <w:tc>
          <w:tcPr>
            <w:tcW w:w="704" w:type="dxa"/>
          </w:tcPr>
          <w:p w14:paraId="02B3AB2B" w14:textId="5BD1C539" w:rsidR="009E24BF" w:rsidRDefault="006C5FC6" w:rsidP="004F6003">
            <w:pPr>
              <w:spacing w:before="120" w:after="0" w:line="240" w:lineRule="auto"/>
              <w:rPr>
                <w:rFonts w:ascii="Arial" w:hAnsi="Arial" w:cs="Arial"/>
                <w:b/>
              </w:rPr>
            </w:pPr>
            <w:r>
              <w:rPr>
                <w:rFonts w:ascii="Arial" w:hAnsi="Arial" w:cs="Arial"/>
                <w:b/>
              </w:rPr>
              <w:lastRenderedPageBreak/>
              <w:t>A.3</w:t>
            </w:r>
            <w:r w:rsidR="007D61A6">
              <w:rPr>
                <w:rFonts w:ascii="Arial" w:hAnsi="Arial" w:cs="Arial"/>
                <w:b/>
              </w:rPr>
              <w:t>.</w:t>
            </w:r>
          </w:p>
        </w:tc>
        <w:tc>
          <w:tcPr>
            <w:tcW w:w="1843" w:type="dxa"/>
          </w:tcPr>
          <w:p w14:paraId="586ABA21" w14:textId="08EE8C8C" w:rsidR="009E24BF" w:rsidRPr="0093259C" w:rsidRDefault="009E24BF" w:rsidP="004F6003">
            <w:pPr>
              <w:spacing w:before="120" w:after="0" w:line="240" w:lineRule="auto"/>
              <w:rPr>
                <w:rFonts w:ascii="Arial" w:hAnsi="Arial" w:cs="Arial"/>
                <w:b/>
              </w:rPr>
            </w:pPr>
          </w:p>
        </w:tc>
        <w:tc>
          <w:tcPr>
            <w:tcW w:w="7973" w:type="dxa"/>
          </w:tcPr>
          <w:p w14:paraId="369A5204" w14:textId="77777777" w:rsidR="00A06107" w:rsidRDefault="00A06107" w:rsidP="007D61A6">
            <w:pPr>
              <w:pStyle w:val="Zkladntext20"/>
              <w:shd w:val="clear" w:color="auto" w:fill="auto"/>
              <w:spacing w:before="120" w:line="240" w:lineRule="auto"/>
              <w:ind w:firstLine="0"/>
              <w:jc w:val="left"/>
              <w:rPr>
                <w:rFonts w:ascii="Arial" w:hAnsi="Arial" w:cs="Arial"/>
              </w:rPr>
            </w:pPr>
            <w:r w:rsidRPr="00A06107">
              <w:rPr>
                <w:rFonts w:ascii="Arial" w:hAnsi="Arial" w:cs="Arial"/>
              </w:rPr>
              <w:t>V čl. III se za bod 23 vkládá nový bod X, který zní:</w:t>
            </w:r>
          </w:p>
          <w:p w14:paraId="66B91AD5" w14:textId="77777777" w:rsidR="00A06107" w:rsidRDefault="00A06107" w:rsidP="007D61A6">
            <w:pPr>
              <w:pStyle w:val="Zkladntext20"/>
              <w:shd w:val="clear" w:color="auto" w:fill="auto"/>
              <w:spacing w:before="120" w:line="240" w:lineRule="auto"/>
              <w:ind w:firstLine="0"/>
              <w:jc w:val="left"/>
              <w:rPr>
                <w:rFonts w:ascii="Arial" w:hAnsi="Arial" w:cs="Arial"/>
              </w:rPr>
            </w:pPr>
            <w:r w:rsidRPr="00A06107">
              <w:rPr>
                <w:rFonts w:ascii="Arial" w:hAnsi="Arial" w:cs="Arial"/>
              </w:rPr>
              <w:br/>
              <w:t>„X. V § 10 se doplňuje odstavec 6, který zní:</w:t>
            </w:r>
          </w:p>
          <w:p w14:paraId="5AD26F51" w14:textId="77777777" w:rsidR="00A06107" w:rsidRDefault="00A06107" w:rsidP="007D61A6">
            <w:pPr>
              <w:pStyle w:val="Zkladntext20"/>
              <w:shd w:val="clear" w:color="auto" w:fill="auto"/>
              <w:spacing w:before="120" w:line="240" w:lineRule="auto"/>
              <w:ind w:firstLine="0"/>
              <w:jc w:val="left"/>
              <w:rPr>
                <w:rFonts w:ascii="Arial" w:hAnsi="Arial" w:cs="Arial"/>
              </w:rPr>
            </w:pPr>
            <w:r w:rsidRPr="00A06107">
              <w:rPr>
                <w:rFonts w:ascii="Arial" w:hAnsi="Arial" w:cs="Arial"/>
              </w:rPr>
              <w:br/>
              <w:t>„(6) Prováděcí právní předpis stanoví pravidla výpočtu úrovně zpětného odběru odpadu z</w:t>
            </w:r>
            <w:r>
              <w:rPr>
                <w:rFonts w:ascii="Arial" w:hAnsi="Arial" w:cs="Arial"/>
              </w:rPr>
              <w:t xml:space="preserve"> </w:t>
            </w:r>
            <w:r w:rsidRPr="00A06107">
              <w:rPr>
                <w:rFonts w:ascii="Arial" w:hAnsi="Arial" w:cs="Arial"/>
              </w:rPr>
              <w:t>jednorázových plastových obalů uvedených v části B přílohy č. 4 k tomuto zákonu.“.“.</w:t>
            </w:r>
          </w:p>
          <w:p w14:paraId="19FF38BD" w14:textId="66475D48" w:rsidR="009E24BF" w:rsidRPr="00CE716F" w:rsidRDefault="00A06107" w:rsidP="007D61A6">
            <w:pPr>
              <w:pStyle w:val="Zkladntext20"/>
              <w:shd w:val="clear" w:color="auto" w:fill="auto"/>
              <w:spacing w:before="120" w:line="240" w:lineRule="auto"/>
              <w:ind w:firstLine="0"/>
              <w:jc w:val="left"/>
              <w:rPr>
                <w:rFonts w:ascii="Arial" w:hAnsi="Arial" w:cs="Arial"/>
              </w:rPr>
            </w:pPr>
            <w:r w:rsidRPr="00A06107">
              <w:rPr>
                <w:rFonts w:ascii="Arial" w:hAnsi="Arial" w:cs="Arial"/>
              </w:rPr>
              <w:br/>
              <w:t>Následující body se přečíslují.</w:t>
            </w:r>
          </w:p>
        </w:tc>
        <w:tc>
          <w:tcPr>
            <w:tcW w:w="4926" w:type="dxa"/>
          </w:tcPr>
          <w:p w14:paraId="6EF57280" w14:textId="77777777" w:rsidR="0009518C" w:rsidRPr="005F65EB" w:rsidRDefault="0009518C" w:rsidP="0009518C">
            <w:pPr>
              <w:jc w:val="both"/>
              <w:rPr>
                <w:rFonts w:ascii="Arial" w:hAnsi="Arial" w:cs="Arial"/>
                <w:b/>
              </w:rPr>
            </w:pPr>
            <w:r w:rsidRPr="005F65EB">
              <w:rPr>
                <w:rFonts w:ascii="Arial" w:hAnsi="Arial" w:cs="Arial"/>
                <w:b/>
              </w:rPr>
              <w:t>Souhlas</w:t>
            </w:r>
          </w:p>
          <w:p w14:paraId="4E966B86" w14:textId="0C833026" w:rsidR="009E24BF" w:rsidRPr="0093259C" w:rsidRDefault="00A06107" w:rsidP="00A06107">
            <w:pPr>
              <w:jc w:val="both"/>
              <w:rPr>
                <w:rFonts w:ascii="Arial" w:hAnsi="Arial" w:cs="Arial"/>
              </w:rPr>
            </w:pPr>
            <w:r>
              <w:rPr>
                <w:rFonts w:ascii="Arial" w:hAnsi="Arial" w:cs="Arial"/>
              </w:rPr>
              <w:t xml:space="preserve">Pozměňovací návrh doplňuje do § 10 zmocnění pro vydání vyhlášky, kterou Ministerstvo životního prostředí bude moci zajistit plnou implementaci </w:t>
            </w:r>
            <w:r w:rsidRPr="00944143">
              <w:rPr>
                <w:rFonts w:ascii="Arial" w:hAnsi="Arial" w:cs="Arial"/>
              </w:rPr>
              <w:t>prováděcí</w:t>
            </w:r>
            <w:r>
              <w:rPr>
                <w:rFonts w:ascii="Arial" w:hAnsi="Arial" w:cs="Arial"/>
              </w:rPr>
              <w:t>ho</w:t>
            </w:r>
            <w:r w:rsidRPr="00944143">
              <w:rPr>
                <w:rFonts w:ascii="Arial" w:hAnsi="Arial" w:cs="Arial"/>
              </w:rPr>
              <w:t xml:space="preserve"> rozhodnutí Komise (EU) 2021/1752 ze dne 1. října 2021, kterým se stanoví prováděcí pravidla ke směrnici Evropského parlamentu a Rady (EU) 2019/904, pokud jde o výpočet, ověřování a vykazování údajů o tříděném sběru odpadu z plastových nápojových lahví na jedno použití</w:t>
            </w:r>
            <w:r>
              <w:rPr>
                <w:rFonts w:ascii="Arial" w:hAnsi="Arial" w:cs="Arial"/>
              </w:rPr>
              <w:t xml:space="preserve">. Toto prováděcí rozhodnutí bylo vyhlášeno v Úředním věstníku EU se zpožděním (až v říjnu 2021 místo do 3. července 2020 dle směrnice), kdy byly zákony již dokončené a v legislativním procesu. Samotný výpočet je oproti původním </w:t>
            </w:r>
            <w:r>
              <w:rPr>
                <w:rFonts w:ascii="Arial" w:hAnsi="Arial" w:cs="Arial"/>
              </w:rPr>
              <w:lastRenderedPageBreak/>
              <w:t xml:space="preserve">očekáváním natolik složitý, že bude třeba jej implementovat do vyhlášky č. 30/2021 Sb., o </w:t>
            </w:r>
            <w:r w:rsidRPr="00A536AB">
              <w:rPr>
                <w:rFonts w:ascii="Arial" w:hAnsi="Arial" w:cs="Arial"/>
              </w:rPr>
              <w:t>provedení některých ustanovení zákona o obalech</w:t>
            </w:r>
            <w:r>
              <w:rPr>
                <w:rFonts w:ascii="Arial" w:hAnsi="Arial" w:cs="Arial"/>
              </w:rPr>
              <w:t>. S doplněním zmocnění souvisí i nezbytná legislativně-technická úprava § 50 zákona o obalech</w:t>
            </w:r>
            <w:r w:rsidR="00AF1D75">
              <w:rPr>
                <w:rFonts w:ascii="Arial" w:hAnsi="Arial" w:cs="Arial"/>
              </w:rPr>
              <w:t xml:space="preserve"> (viz návrh A.9.)</w:t>
            </w:r>
          </w:p>
        </w:tc>
      </w:tr>
      <w:tr w:rsidR="009E24BF" w:rsidRPr="0093259C" w14:paraId="1F3ED651" w14:textId="77777777" w:rsidTr="004F6003">
        <w:trPr>
          <w:trHeight w:val="475"/>
        </w:trPr>
        <w:tc>
          <w:tcPr>
            <w:tcW w:w="704" w:type="dxa"/>
          </w:tcPr>
          <w:p w14:paraId="204F3638" w14:textId="1987FE17" w:rsidR="009E24BF" w:rsidRDefault="00490DF6" w:rsidP="004F6003">
            <w:pPr>
              <w:spacing w:before="120" w:after="0" w:line="240" w:lineRule="auto"/>
              <w:rPr>
                <w:rFonts w:ascii="Arial" w:hAnsi="Arial" w:cs="Arial"/>
                <w:b/>
              </w:rPr>
            </w:pPr>
            <w:r>
              <w:rPr>
                <w:rFonts w:ascii="Arial" w:hAnsi="Arial" w:cs="Arial"/>
                <w:b/>
              </w:rPr>
              <w:lastRenderedPageBreak/>
              <w:t>A.4</w:t>
            </w:r>
            <w:r w:rsidR="007D61A6">
              <w:rPr>
                <w:rFonts w:ascii="Arial" w:hAnsi="Arial" w:cs="Arial"/>
                <w:b/>
              </w:rPr>
              <w:t>.</w:t>
            </w:r>
          </w:p>
        </w:tc>
        <w:tc>
          <w:tcPr>
            <w:tcW w:w="1843" w:type="dxa"/>
          </w:tcPr>
          <w:p w14:paraId="6FF453F1" w14:textId="3C5177A2" w:rsidR="009E24BF" w:rsidRPr="0093259C" w:rsidRDefault="009E24BF" w:rsidP="004F6003">
            <w:pPr>
              <w:spacing w:before="120" w:after="0" w:line="240" w:lineRule="auto"/>
              <w:rPr>
                <w:rFonts w:ascii="Arial" w:hAnsi="Arial" w:cs="Arial"/>
                <w:b/>
              </w:rPr>
            </w:pPr>
          </w:p>
        </w:tc>
        <w:tc>
          <w:tcPr>
            <w:tcW w:w="7973" w:type="dxa"/>
          </w:tcPr>
          <w:p w14:paraId="73EDB46E" w14:textId="7B79B086" w:rsidR="009E24BF" w:rsidRPr="00CE716F" w:rsidRDefault="00AF1D75" w:rsidP="00AF1D75">
            <w:pPr>
              <w:spacing w:before="120" w:after="0" w:line="240" w:lineRule="auto"/>
              <w:jc w:val="both"/>
              <w:rPr>
                <w:rFonts w:ascii="Arial" w:hAnsi="Arial" w:cs="Arial"/>
              </w:rPr>
            </w:pPr>
            <w:r w:rsidRPr="00AF1D75">
              <w:rPr>
                <w:rFonts w:ascii="Arial" w:hAnsi="Arial" w:cs="Arial"/>
              </w:rPr>
              <w:t xml:space="preserve">V čl. III bodu 29 v § 13 odst. 1 písm. b) se za text „§ 12a“ vkládají slova </w:t>
            </w:r>
            <w:proofErr w:type="gramStart"/>
            <w:r w:rsidRPr="00AF1D75">
              <w:rPr>
                <w:rFonts w:ascii="Arial" w:hAnsi="Arial" w:cs="Arial"/>
              </w:rPr>
              <w:t>„ ,</w:t>
            </w:r>
            <w:proofErr w:type="gramEnd"/>
            <w:r w:rsidRPr="00AF1D75">
              <w:rPr>
                <w:rFonts w:ascii="Arial" w:hAnsi="Arial" w:cs="Arial"/>
              </w:rPr>
              <w:t xml:space="preserve"> ledaže osoba,</w:t>
            </w:r>
            <w:r>
              <w:rPr>
                <w:rFonts w:ascii="Arial" w:hAnsi="Arial" w:cs="Arial"/>
              </w:rPr>
              <w:t xml:space="preserve"> </w:t>
            </w:r>
            <w:r w:rsidRPr="00AF1D75">
              <w:rPr>
                <w:rFonts w:ascii="Arial" w:hAnsi="Arial" w:cs="Arial"/>
              </w:rPr>
              <w:t>na níž jsou povinnosti podle § 10 až 12a smlouvou o převedení vlastnického práva přeneseny,</w:t>
            </w:r>
            <w:r>
              <w:rPr>
                <w:rFonts w:ascii="Arial" w:hAnsi="Arial" w:cs="Arial"/>
              </w:rPr>
              <w:t xml:space="preserve"> </w:t>
            </w:r>
            <w:r w:rsidRPr="00AF1D75">
              <w:rPr>
                <w:rFonts w:ascii="Arial" w:hAnsi="Arial" w:cs="Arial"/>
              </w:rPr>
              <w:t>tyto povinnosti plní způsobem podle § 13 odst. 1 písm. c)“.</w:t>
            </w:r>
          </w:p>
        </w:tc>
        <w:tc>
          <w:tcPr>
            <w:tcW w:w="4926" w:type="dxa"/>
          </w:tcPr>
          <w:p w14:paraId="5ED2B035" w14:textId="77777777" w:rsidR="00AF1D75" w:rsidRPr="005F65EB" w:rsidRDefault="00AF1D75" w:rsidP="00AF1D75">
            <w:pPr>
              <w:jc w:val="both"/>
              <w:rPr>
                <w:rFonts w:ascii="Arial" w:hAnsi="Arial" w:cs="Arial"/>
                <w:b/>
              </w:rPr>
            </w:pPr>
            <w:r w:rsidRPr="005F65EB">
              <w:rPr>
                <w:rFonts w:ascii="Arial" w:hAnsi="Arial" w:cs="Arial"/>
                <w:b/>
              </w:rPr>
              <w:t>Souhlas</w:t>
            </w:r>
          </w:p>
          <w:p w14:paraId="789C4CE5" w14:textId="2FC4B4FF" w:rsidR="00AF1D75" w:rsidRPr="00AF1D75" w:rsidRDefault="00AF1D75" w:rsidP="005A7F9A">
            <w:pPr>
              <w:spacing w:before="120" w:after="0" w:line="240" w:lineRule="auto"/>
              <w:jc w:val="both"/>
              <w:rPr>
                <w:rFonts w:ascii="Arial" w:hAnsi="Arial" w:cs="Arial"/>
              </w:rPr>
            </w:pPr>
            <w:r w:rsidRPr="00AF1D75">
              <w:rPr>
                <w:rFonts w:ascii="Arial" w:hAnsi="Arial" w:cs="Arial"/>
              </w:rPr>
              <w:t>Povinnosti podle § 12a zákona o obalech, které se týkají povinného obsahu recyklovaného plastu (</w:t>
            </w:r>
            <w:proofErr w:type="spellStart"/>
            <w:r w:rsidRPr="00AF1D75">
              <w:rPr>
                <w:rFonts w:ascii="Arial" w:hAnsi="Arial" w:cs="Arial"/>
              </w:rPr>
              <w:t>rPET</w:t>
            </w:r>
            <w:proofErr w:type="spellEnd"/>
            <w:r w:rsidRPr="00AF1D75">
              <w:rPr>
                <w:rFonts w:ascii="Arial" w:hAnsi="Arial" w:cs="Arial"/>
              </w:rPr>
              <w:t>), nelze přenést na odběratele postupem podle § 13 odst. 1 písm. b) zákona o obalech. To vyplývá z povahy přenosu (resp. nepřenositelnosti) těchto povinností. Navrhuje se stanovit, že v případě, že obalové povinnosti budou přeneseny na odběratele postupem podle § 13 odst. 1 písm. b) zákona o obalech, může tento odběratel plnit za osobu uvádějící obaly na trh i povinnosti ohledně povinného podílu recyklovaných plastů, ovšem pouze za podmínky, že je plní prostřednictvím autorizované obalové společnosti podle § 12a odst. 2. Institut sdruženého plnění totiž takový způsob přenosu umožňuje.</w:t>
            </w:r>
          </w:p>
        </w:tc>
      </w:tr>
      <w:tr w:rsidR="009E24BF" w:rsidRPr="0093259C" w14:paraId="087A63D9" w14:textId="77777777" w:rsidTr="004F6003">
        <w:trPr>
          <w:trHeight w:val="475"/>
        </w:trPr>
        <w:tc>
          <w:tcPr>
            <w:tcW w:w="704" w:type="dxa"/>
          </w:tcPr>
          <w:p w14:paraId="36D34503" w14:textId="5C551C56" w:rsidR="009E24BF" w:rsidRDefault="00490DF6" w:rsidP="004F6003">
            <w:pPr>
              <w:spacing w:before="120" w:after="0" w:line="240" w:lineRule="auto"/>
              <w:rPr>
                <w:rFonts w:ascii="Arial" w:hAnsi="Arial" w:cs="Arial"/>
                <w:b/>
              </w:rPr>
            </w:pPr>
            <w:r>
              <w:rPr>
                <w:rFonts w:ascii="Arial" w:hAnsi="Arial" w:cs="Arial"/>
                <w:b/>
              </w:rPr>
              <w:t>A.5</w:t>
            </w:r>
            <w:r w:rsidR="007D61A6">
              <w:rPr>
                <w:rFonts w:ascii="Arial" w:hAnsi="Arial" w:cs="Arial"/>
                <w:b/>
              </w:rPr>
              <w:t>.</w:t>
            </w:r>
          </w:p>
        </w:tc>
        <w:tc>
          <w:tcPr>
            <w:tcW w:w="1843" w:type="dxa"/>
          </w:tcPr>
          <w:p w14:paraId="48B0B545" w14:textId="3B5531A2" w:rsidR="009E24BF" w:rsidRPr="0093259C" w:rsidRDefault="009E24BF" w:rsidP="004F6003">
            <w:pPr>
              <w:spacing w:before="120" w:after="0" w:line="240" w:lineRule="auto"/>
              <w:rPr>
                <w:rFonts w:ascii="Arial" w:hAnsi="Arial" w:cs="Arial"/>
                <w:b/>
              </w:rPr>
            </w:pPr>
          </w:p>
        </w:tc>
        <w:tc>
          <w:tcPr>
            <w:tcW w:w="7973" w:type="dxa"/>
          </w:tcPr>
          <w:p w14:paraId="5520F3B5" w14:textId="0D8D79F3" w:rsidR="009E24BF" w:rsidRPr="00CE716F" w:rsidRDefault="00946CF1" w:rsidP="008F419C">
            <w:pPr>
              <w:spacing w:before="120" w:after="0" w:line="240" w:lineRule="auto"/>
              <w:rPr>
                <w:rFonts w:ascii="Arial" w:hAnsi="Arial" w:cs="Arial"/>
              </w:rPr>
            </w:pPr>
            <w:r w:rsidRPr="00946CF1">
              <w:rPr>
                <w:rFonts w:ascii="Arial" w:hAnsi="Arial" w:cs="Arial"/>
              </w:rPr>
              <w:t>V čl. III bodu 41 v § 17 odst. 3 písm. d) bodu 8 se za text „§ 21 odst. 3“ vkládají slova</w:t>
            </w:r>
            <w:r w:rsidR="008F419C">
              <w:rPr>
                <w:rFonts w:ascii="Arial" w:hAnsi="Arial" w:cs="Arial"/>
              </w:rPr>
              <w:t xml:space="preserve"> </w:t>
            </w:r>
            <w:proofErr w:type="gramStart"/>
            <w:r w:rsidRPr="00946CF1">
              <w:rPr>
                <w:rFonts w:ascii="Arial" w:hAnsi="Arial" w:cs="Arial"/>
              </w:rPr>
              <w:t>„ ,</w:t>
            </w:r>
            <w:proofErr w:type="gramEnd"/>
            <w:r w:rsidRPr="00946CF1">
              <w:rPr>
                <w:rFonts w:ascii="Arial" w:hAnsi="Arial" w:cs="Arial"/>
              </w:rPr>
              <w:t xml:space="preserve"> spolu s aktuálně platným výpočtem těchto nákladů“.</w:t>
            </w:r>
          </w:p>
        </w:tc>
        <w:tc>
          <w:tcPr>
            <w:tcW w:w="4926" w:type="dxa"/>
          </w:tcPr>
          <w:p w14:paraId="31C9FF0B" w14:textId="77777777" w:rsidR="008F419C" w:rsidRPr="005F65EB" w:rsidRDefault="008F419C" w:rsidP="008F419C">
            <w:pPr>
              <w:jc w:val="both"/>
              <w:rPr>
                <w:rFonts w:ascii="Arial" w:hAnsi="Arial" w:cs="Arial"/>
                <w:b/>
              </w:rPr>
            </w:pPr>
            <w:r w:rsidRPr="005F65EB">
              <w:rPr>
                <w:rFonts w:ascii="Arial" w:hAnsi="Arial" w:cs="Arial"/>
                <w:b/>
              </w:rPr>
              <w:t>Souhlas</w:t>
            </w:r>
          </w:p>
          <w:p w14:paraId="106EDF54" w14:textId="3CE3144E" w:rsidR="008F419C" w:rsidRPr="0093259C" w:rsidRDefault="008F419C" w:rsidP="008F419C">
            <w:pPr>
              <w:jc w:val="both"/>
            </w:pPr>
            <w:r w:rsidRPr="008F419C">
              <w:rPr>
                <w:rFonts w:ascii="Arial" w:hAnsi="Arial" w:cs="Arial"/>
              </w:rPr>
              <w:t>Navrhuje se, aby žadatel o autorizaci musel předložit nejenom návrh metodiky výpočtu nákladů, ale i aktuálně platný výpočet nákladů. Takový postup zvyšuje schopnost ministerstva ověřit věrohodnost předloženého návrhu a jeho konkrétnost.</w:t>
            </w:r>
          </w:p>
        </w:tc>
      </w:tr>
      <w:tr w:rsidR="009E24BF" w:rsidRPr="0093259C" w14:paraId="2DD23A86" w14:textId="77777777" w:rsidTr="004F6003">
        <w:trPr>
          <w:trHeight w:val="475"/>
        </w:trPr>
        <w:tc>
          <w:tcPr>
            <w:tcW w:w="704" w:type="dxa"/>
          </w:tcPr>
          <w:p w14:paraId="69644207" w14:textId="37552D96" w:rsidR="009E24BF" w:rsidRDefault="00490DF6" w:rsidP="004F6003">
            <w:pPr>
              <w:spacing w:before="120" w:after="0" w:line="240" w:lineRule="auto"/>
              <w:rPr>
                <w:rFonts w:ascii="Arial" w:hAnsi="Arial" w:cs="Arial"/>
                <w:b/>
              </w:rPr>
            </w:pPr>
            <w:r>
              <w:rPr>
                <w:rFonts w:ascii="Arial" w:hAnsi="Arial" w:cs="Arial"/>
                <w:b/>
              </w:rPr>
              <w:lastRenderedPageBreak/>
              <w:t>A.6</w:t>
            </w:r>
            <w:r w:rsidR="00D3691C">
              <w:rPr>
                <w:rFonts w:ascii="Arial" w:hAnsi="Arial" w:cs="Arial"/>
                <w:b/>
              </w:rPr>
              <w:t>.</w:t>
            </w:r>
          </w:p>
        </w:tc>
        <w:tc>
          <w:tcPr>
            <w:tcW w:w="1843" w:type="dxa"/>
          </w:tcPr>
          <w:p w14:paraId="055B234E" w14:textId="7A4FC9EA" w:rsidR="009E24BF" w:rsidRPr="0093259C" w:rsidRDefault="009E24BF" w:rsidP="004F6003">
            <w:pPr>
              <w:spacing w:before="120" w:after="0" w:line="240" w:lineRule="auto"/>
              <w:rPr>
                <w:rFonts w:ascii="Arial" w:hAnsi="Arial" w:cs="Arial"/>
                <w:b/>
              </w:rPr>
            </w:pPr>
          </w:p>
        </w:tc>
        <w:tc>
          <w:tcPr>
            <w:tcW w:w="7973" w:type="dxa"/>
          </w:tcPr>
          <w:p w14:paraId="146DE9A0" w14:textId="6E72FB41" w:rsidR="004457A6" w:rsidRDefault="004457A6" w:rsidP="004457A6">
            <w:pPr>
              <w:rPr>
                <w:rFonts w:ascii="Arial" w:hAnsi="Arial" w:cs="Arial"/>
              </w:rPr>
            </w:pPr>
            <w:r w:rsidRPr="004457A6">
              <w:rPr>
                <w:rFonts w:ascii="Arial" w:hAnsi="Arial" w:cs="Arial"/>
              </w:rPr>
              <w:t>V čl. III bod 46 zní:</w:t>
            </w:r>
            <w:r w:rsidRPr="004457A6">
              <w:rPr>
                <w:rFonts w:ascii="Arial" w:hAnsi="Arial" w:cs="Arial"/>
              </w:rPr>
              <w:br/>
              <w:t>„46. V § 21 odst. 1 písmeno i) zní:</w:t>
            </w:r>
          </w:p>
          <w:p w14:paraId="14660CE1" w14:textId="5ED2B867" w:rsidR="004457A6" w:rsidRPr="004457A6" w:rsidRDefault="004457A6" w:rsidP="004457A6">
            <w:pPr>
              <w:jc w:val="both"/>
              <w:rPr>
                <w:rFonts w:ascii="Arial" w:hAnsi="Arial" w:cs="Arial"/>
              </w:rPr>
            </w:pPr>
            <w:r w:rsidRPr="004457A6">
              <w:rPr>
                <w:rFonts w:ascii="Arial" w:hAnsi="Arial" w:cs="Arial"/>
              </w:rPr>
              <w:t>„i) zjišťovat výši průměrných nákladů obcí pro různé velikostní skupiny obcí na</w:t>
            </w:r>
            <w:r w:rsidRPr="004457A6">
              <w:rPr>
                <w:rFonts w:ascii="Arial" w:hAnsi="Arial" w:cs="Arial"/>
              </w:rPr>
              <w:br/>
              <w:t>1. provoz systému zpětného odběru a využití odpadů z obalů a</w:t>
            </w:r>
            <w:r w:rsidRPr="004457A6">
              <w:rPr>
                <w:rFonts w:ascii="Arial" w:hAnsi="Arial" w:cs="Arial"/>
              </w:rPr>
              <w:br/>
              <w:t>2. úklid odpadu z jednorázových plastových obalů uvedených v částech C a D přílohy</w:t>
            </w:r>
            <w:r>
              <w:rPr>
                <w:rFonts w:ascii="Arial" w:hAnsi="Arial" w:cs="Arial"/>
              </w:rPr>
              <w:t xml:space="preserve"> </w:t>
            </w:r>
            <w:r w:rsidRPr="004457A6">
              <w:rPr>
                <w:rFonts w:ascii="Arial" w:hAnsi="Arial" w:cs="Arial"/>
              </w:rPr>
              <w:t>č. 4 k tomuto zákonu, kterého se osoby zbavují mimo místa určená k jeho odkládání, a na následnou přepravu a zpracování tohoto odpadu;</w:t>
            </w:r>
            <w:r>
              <w:rPr>
                <w:rFonts w:ascii="Arial" w:hAnsi="Arial" w:cs="Arial"/>
              </w:rPr>
              <w:t xml:space="preserve"> </w:t>
            </w:r>
            <w:r w:rsidR="000905D1">
              <w:rPr>
                <w:rFonts w:ascii="Arial" w:hAnsi="Arial" w:cs="Arial"/>
              </w:rPr>
              <w:br/>
            </w:r>
            <w:r w:rsidRPr="004457A6">
              <w:rPr>
                <w:rFonts w:ascii="Arial" w:hAnsi="Arial" w:cs="Arial"/>
              </w:rPr>
              <w:t>při působení více autorizovaných společností na území České republiky zjišťuje tyto náklady</w:t>
            </w:r>
            <w:r>
              <w:rPr>
                <w:rFonts w:ascii="Arial" w:hAnsi="Arial" w:cs="Arial"/>
              </w:rPr>
              <w:t xml:space="preserve"> </w:t>
            </w:r>
            <w:r w:rsidRPr="004457A6">
              <w:rPr>
                <w:rFonts w:ascii="Arial" w:hAnsi="Arial" w:cs="Arial"/>
              </w:rPr>
              <w:t>jedna autorizovaná společnost určená způsobem podle § 21c odst. 3,“.“.</w:t>
            </w:r>
          </w:p>
        </w:tc>
        <w:tc>
          <w:tcPr>
            <w:tcW w:w="4926" w:type="dxa"/>
          </w:tcPr>
          <w:p w14:paraId="13CE9D0A" w14:textId="77777777" w:rsidR="00637304" w:rsidRPr="005F65EB" w:rsidRDefault="00637304" w:rsidP="00637304">
            <w:pPr>
              <w:jc w:val="both"/>
              <w:rPr>
                <w:rFonts w:ascii="Arial" w:hAnsi="Arial" w:cs="Arial"/>
                <w:b/>
              </w:rPr>
            </w:pPr>
            <w:r w:rsidRPr="005F65EB">
              <w:rPr>
                <w:rFonts w:ascii="Arial" w:hAnsi="Arial" w:cs="Arial"/>
                <w:b/>
              </w:rPr>
              <w:t>Souhlas</w:t>
            </w:r>
          </w:p>
          <w:p w14:paraId="32967CF3" w14:textId="44C0C44C" w:rsidR="00637304" w:rsidRPr="00637304" w:rsidRDefault="00637304" w:rsidP="00637304">
            <w:pPr>
              <w:spacing w:before="120" w:after="0" w:line="240" w:lineRule="auto"/>
              <w:jc w:val="both"/>
              <w:rPr>
                <w:rFonts w:ascii="Arial" w:hAnsi="Arial" w:cs="Arial"/>
              </w:rPr>
            </w:pPr>
            <w:r w:rsidRPr="00637304">
              <w:rPr>
                <w:rFonts w:ascii="Arial" w:hAnsi="Arial" w:cs="Arial"/>
              </w:rPr>
              <w:t xml:space="preserve">V § 21 odst. 1 písm. i) bodě 1 se za slova „zpětného odběru“ vkládají slova „a využití“. Důvodem je skutečnost, že obecní systémy nakládání s komunálním odpadem zajišťují jak zpětný odběr, tak i využití odpadů z obalů; proto tento aspekt musí být v zákoně výslovně zohledněn, obdobně, jako je „zpracování odpadu“ zmíněno v daném textu ve vztahu k </w:t>
            </w:r>
            <w:r w:rsidRPr="00637304">
              <w:rPr>
                <w:rFonts w:ascii="Arial" w:hAnsi="Arial" w:cs="Arial"/>
              </w:rPr>
              <w:tab/>
              <w:t xml:space="preserve">úklidu odpadu z jednorázových plastových obalů. Jedná se o prvek ochrany obcí, neboť autorizované obalové společnosti a povinné osoby obecně musejí nést nejenom náklady na sběr obalového odpadu, ale i na jeho využití. </w:t>
            </w:r>
          </w:p>
          <w:p w14:paraId="2A08C74A" w14:textId="22355B66" w:rsidR="009E24BF" w:rsidRPr="0093259C" w:rsidRDefault="00637304" w:rsidP="00637304">
            <w:pPr>
              <w:spacing w:before="120" w:after="0" w:line="240" w:lineRule="auto"/>
              <w:jc w:val="both"/>
              <w:rPr>
                <w:rFonts w:ascii="Arial" w:hAnsi="Arial" w:cs="Arial"/>
                <w:b/>
              </w:rPr>
            </w:pPr>
            <w:r w:rsidRPr="00637304">
              <w:rPr>
                <w:rFonts w:ascii="Arial" w:hAnsi="Arial" w:cs="Arial"/>
              </w:rPr>
              <w:t>Zároveň je s ohledem na zákonná pravidla tzv. koordinace nutné provést grafickou úpravu („odskočení“) textu tak, aby bylo nepochybné, že se text „při působení více autorizovaných společností na území České republiky zjišťuje tyto náklady jedna autorizovaná společnost určená způsobem podle § 21c odst. 3,“ vztahuje k oběma bodům tohoto písmene.</w:t>
            </w:r>
          </w:p>
        </w:tc>
      </w:tr>
      <w:tr w:rsidR="009E24BF" w:rsidRPr="0093259C" w14:paraId="1CB338C8" w14:textId="77777777" w:rsidTr="004F6003">
        <w:trPr>
          <w:trHeight w:val="475"/>
        </w:trPr>
        <w:tc>
          <w:tcPr>
            <w:tcW w:w="704" w:type="dxa"/>
          </w:tcPr>
          <w:p w14:paraId="0419861E" w14:textId="16C1307A" w:rsidR="009E24BF" w:rsidRDefault="00490DF6" w:rsidP="004F6003">
            <w:pPr>
              <w:spacing w:before="120" w:after="0" w:line="240" w:lineRule="auto"/>
              <w:rPr>
                <w:rFonts w:ascii="Arial" w:hAnsi="Arial" w:cs="Arial"/>
                <w:b/>
              </w:rPr>
            </w:pPr>
            <w:r>
              <w:rPr>
                <w:rFonts w:ascii="Arial" w:hAnsi="Arial" w:cs="Arial"/>
                <w:b/>
              </w:rPr>
              <w:t>A.7</w:t>
            </w:r>
            <w:r w:rsidR="00D3691C">
              <w:rPr>
                <w:rFonts w:ascii="Arial" w:hAnsi="Arial" w:cs="Arial"/>
                <w:b/>
              </w:rPr>
              <w:t>.</w:t>
            </w:r>
          </w:p>
        </w:tc>
        <w:tc>
          <w:tcPr>
            <w:tcW w:w="1843" w:type="dxa"/>
          </w:tcPr>
          <w:p w14:paraId="11831744" w14:textId="0ED37E9B" w:rsidR="009E24BF" w:rsidRPr="0093259C" w:rsidRDefault="009E24BF" w:rsidP="004F6003">
            <w:pPr>
              <w:spacing w:before="120" w:after="0" w:line="240" w:lineRule="auto"/>
              <w:rPr>
                <w:rFonts w:ascii="Arial" w:hAnsi="Arial" w:cs="Arial"/>
                <w:b/>
              </w:rPr>
            </w:pPr>
          </w:p>
        </w:tc>
        <w:tc>
          <w:tcPr>
            <w:tcW w:w="7973" w:type="dxa"/>
          </w:tcPr>
          <w:p w14:paraId="6D204F23" w14:textId="23B60CED" w:rsidR="009E24BF" w:rsidRPr="00CE716F" w:rsidRDefault="004457A6" w:rsidP="00DC0AFF">
            <w:pPr>
              <w:jc w:val="both"/>
              <w:rPr>
                <w:rFonts w:ascii="Arial" w:hAnsi="Arial" w:cs="Arial"/>
              </w:rPr>
            </w:pPr>
            <w:r w:rsidRPr="004457A6">
              <w:rPr>
                <w:rFonts w:ascii="Arial" w:hAnsi="Arial" w:cs="Arial"/>
              </w:rPr>
              <w:t>V čl. III bodu 62 v § 40 odst. 1 písm. c) se za text „§ 10a,“ vkládá text „§ 12a,“.</w:t>
            </w:r>
          </w:p>
        </w:tc>
        <w:tc>
          <w:tcPr>
            <w:tcW w:w="4926" w:type="dxa"/>
          </w:tcPr>
          <w:p w14:paraId="0864558B" w14:textId="77777777" w:rsidR="00B33320" w:rsidRPr="005F65EB" w:rsidRDefault="00B33320" w:rsidP="00B33320">
            <w:pPr>
              <w:jc w:val="both"/>
              <w:rPr>
                <w:rFonts w:ascii="Arial" w:hAnsi="Arial" w:cs="Arial"/>
                <w:b/>
              </w:rPr>
            </w:pPr>
            <w:r w:rsidRPr="005F65EB">
              <w:rPr>
                <w:rFonts w:ascii="Arial" w:hAnsi="Arial" w:cs="Arial"/>
                <w:b/>
              </w:rPr>
              <w:t>Souhlas</w:t>
            </w:r>
          </w:p>
          <w:p w14:paraId="0B88DDD7" w14:textId="313682AA" w:rsidR="009E24BF" w:rsidRPr="00B33320" w:rsidRDefault="00B33320" w:rsidP="0032037D">
            <w:pPr>
              <w:spacing w:before="120" w:after="0" w:line="240" w:lineRule="auto"/>
              <w:jc w:val="both"/>
              <w:rPr>
                <w:rFonts w:ascii="Arial" w:hAnsi="Arial" w:cs="Arial"/>
              </w:rPr>
            </w:pPr>
            <w:r w:rsidRPr="00B33320">
              <w:rPr>
                <w:rFonts w:ascii="Arial" w:hAnsi="Arial" w:cs="Arial"/>
              </w:rPr>
              <w:t>Cílem pozměňovacího návrhu je svěřit kompetence ke kontrole povinností podle navrhovaného ustanovení § 12a zákona o obalech České inspekci životního prostředí, nikoliv Státní zemědělské a potravinářské inspekci.</w:t>
            </w:r>
          </w:p>
        </w:tc>
      </w:tr>
      <w:tr w:rsidR="009E24BF" w:rsidRPr="0093259C" w14:paraId="4A35A353" w14:textId="77777777" w:rsidTr="004F6003">
        <w:trPr>
          <w:trHeight w:val="475"/>
        </w:trPr>
        <w:tc>
          <w:tcPr>
            <w:tcW w:w="704" w:type="dxa"/>
          </w:tcPr>
          <w:p w14:paraId="0A36F819" w14:textId="23F4069F" w:rsidR="009E24BF" w:rsidRDefault="00490DF6" w:rsidP="004F6003">
            <w:pPr>
              <w:spacing w:before="120" w:after="0" w:line="240" w:lineRule="auto"/>
              <w:rPr>
                <w:rFonts w:ascii="Arial" w:hAnsi="Arial" w:cs="Arial"/>
                <w:b/>
              </w:rPr>
            </w:pPr>
            <w:r>
              <w:rPr>
                <w:rFonts w:ascii="Arial" w:hAnsi="Arial" w:cs="Arial"/>
                <w:b/>
              </w:rPr>
              <w:t>A.8</w:t>
            </w:r>
            <w:r w:rsidR="00F614EC">
              <w:rPr>
                <w:rFonts w:ascii="Arial" w:hAnsi="Arial" w:cs="Arial"/>
                <w:b/>
              </w:rPr>
              <w:t>.</w:t>
            </w:r>
          </w:p>
        </w:tc>
        <w:tc>
          <w:tcPr>
            <w:tcW w:w="1843" w:type="dxa"/>
          </w:tcPr>
          <w:p w14:paraId="13B4EF08" w14:textId="16D8D36D" w:rsidR="009E24BF" w:rsidRPr="0093259C" w:rsidRDefault="009E24BF" w:rsidP="004F6003">
            <w:pPr>
              <w:spacing w:before="120" w:after="0" w:line="240" w:lineRule="auto"/>
              <w:rPr>
                <w:rFonts w:ascii="Arial" w:hAnsi="Arial" w:cs="Arial"/>
                <w:b/>
              </w:rPr>
            </w:pPr>
          </w:p>
        </w:tc>
        <w:tc>
          <w:tcPr>
            <w:tcW w:w="7973" w:type="dxa"/>
          </w:tcPr>
          <w:p w14:paraId="1F42C55F" w14:textId="4DC5B474" w:rsidR="009E24BF" w:rsidRPr="00CE716F" w:rsidRDefault="004457A6" w:rsidP="004F6003">
            <w:pPr>
              <w:pStyle w:val="Zkladntext20"/>
              <w:shd w:val="clear" w:color="auto" w:fill="auto"/>
              <w:tabs>
                <w:tab w:val="left" w:pos="422"/>
              </w:tabs>
              <w:spacing w:before="120" w:line="240" w:lineRule="auto"/>
              <w:ind w:firstLine="0"/>
              <w:rPr>
                <w:rFonts w:ascii="Arial" w:hAnsi="Arial" w:cs="Arial"/>
              </w:rPr>
            </w:pPr>
            <w:r w:rsidRPr="004457A6">
              <w:rPr>
                <w:rFonts w:ascii="Arial" w:hAnsi="Arial" w:cs="Arial"/>
              </w:rPr>
              <w:t>V čl. III bodu 70 se slova „až 12“ nahrazují slovy „až 12a“.</w:t>
            </w:r>
          </w:p>
        </w:tc>
        <w:tc>
          <w:tcPr>
            <w:tcW w:w="4926" w:type="dxa"/>
          </w:tcPr>
          <w:p w14:paraId="39CD6473" w14:textId="77777777" w:rsidR="00B33320" w:rsidRPr="005F65EB" w:rsidRDefault="00B33320" w:rsidP="00B33320">
            <w:pPr>
              <w:jc w:val="both"/>
              <w:rPr>
                <w:rFonts w:ascii="Arial" w:hAnsi="Arial" w:cs="Arial"/>
                <w:b/>
              </w:rPr>
            </w:pPr>
            <w:r w:rsidRPr="005F65EB">
              <w:rPr>
                <w:rFonts w:ascii="Arial" w:hAnsi="Arial" w:cs="Arial"/>
                <w:b/>
              </w:rPr>
              <w:t>Souhlas</w:t>
            </w:r>
          </w:p>
          <w:p w14:paraId="33424F64" w14:textId="22AA28A5" w:rsidR="00B33320" w:rsidRPr="00B33320" w:rsidRDefault="00B33320" w:rsidP="00B33320">
            <w:pPr>
              <w:spacing w:before="120" w:after="0" w:line="240" w:lineRule="auto"/>
              <w:jc w:val="both"/>
              <w:rPr>
                <w:rFonts w:ascii="Arial" w:hAnsi="Arial" w:cs="Arial"/>
              </w:rPr>
            </w:pPr>
            <w:r w:rsidRPr="00B33320">
              <w:rPr>
                <w:rFonts w:ascii="Arial" w:hAnsi="Arial" w:cs="Arial"/>
              </w:rPr>
              <w:t xml:space="preserve">V návrhu zákona je v části třetí, čl. III, bodě 69 rozšířena negativní podmínka odpovědnosti za přestupek podle § 46 odst. 2 až na písmeno l). </w:t>
            </w:r>
            <w:r w:rsidRPr="00B33320">
              <w:rPr>
                <w:rFonts w:ascii="Arial" w:hAnsi="Arial" w:cs="Arial"/>
              </w:rPr>
              <w:lastRenderedPageBreak/>
              <w:t>Text § 46 odst. 2 písm. l) je odkazem na navrhovaný nový § 12a s povinností výrobce zajistit obsah stanovaného podílu recyklátu v nově vyrobených nápojových lahvích.</w:t>
            </w:r>
          </w:p>
          <w:p w14:paraId="5F9AA194" w14:textId="11EC6D86" w:rsidR="009E24BF" w:rsidRPr="0093259C" w:rsidRDefault="00B33320" w:rsidP="00B33320">
            <w:pPr>
              <w:spacing w:before="120" w:after="0" w:line="240" w:lineRule="auto"/>
              <w:jc w:val="both"/>
              <w:rPr>
                <w:rFonts w:ascii="Arial" w:hAnsi="Arial" w:cs="Arial"/>
              </w:rPr>
            </w:pPr>
            <w:r w:rsidRPr="00B33320">
              <w:rPr>
                <w:rFonts w:ascii="Arial" w:hAnsi="Arial" w:cs="Arial"/>
              </w:rPr>
              <w:t>Fikce splnění povinnosti výrobcem obsažená v poslední větě § 46 by se tedy měla vztahovat i na povinnosti, které bude výrobce mít na základě nového § 12a.</w:t>
            </w:r>
          </w:p>
        </w:tc>
      </w:tr>
      <w:tr w:rsidR="00D3691C" w:rsidRPr="0093259C" w14:paraId="1421893A" w14:textId="77777777" w:rsidTr="004F6003">
        <w:trPr>
          <w:trHeight w:val="475"/>
        </w:trPr>
        <w:tc>
          <w:tcPr>
            <w:tcW w:w="704" w:type="dxa"/>
          </w:tcPr>
          <w:p w14:paraId="6EC88D04" w14:textId="7013623F" w:rsidR="00D3691C" w:rsidRDefault="00014B69" w:rsidP="004F6003">
            <w:pPr>
              <w:spacing w:before="120" w:after="0" w:line="240" w:lineRule="auto"/>
              <w:rPr>
                <w:rFonts w:ascii="Arial" w:hAnsi="Arial" w:cs="Arial"/>
                <w:b/>
              </w:rPr>
            </w:pPr>
            <w:r>
              <w:rPr>
                <w:rFonts w:ascii="Arial" w:hAnsi="Arial" w:cs="Arial"/>
                <w:b/>
              </w:rPr>
              <w:lastRenderedPageBreak/>
              <w:t>A.9.</w:t>
            </w:r>
          </w:p>
        </w:tc>
        <w:tc>
          <w:tcPr>
            <w:tcW w:w="1843" w:type="dxa"/>
          </w:tcPr>
          <w:p w14:paraId="1ED6C938" w14:textId="77777777" w:rsidR="00D3691C" w:rsidRPr="0093259C" w:rsidRDefault="00D3691C" w:rsidP="004F6003">
            <w:pPr>
              <w:spacing w:before="120" w:after="0" w:line="240" w:lineRule="auto"/>
              <w:rPr>
                <w:rFonts w:ascii="Arial" w:hAnsi="Arial" w:cs="Arial"/>
                <w:b/>
              </w:rPr>
            </w:pPr>
          </w:p>
        </w:tc>
        <w:tc>
          <w:tcPr>
            <w:tcW w:w="7973" w:type="dxa"/>
          </w:tcPr>
          <w:p w14:paraId="30F21913" w14:textId="6F668A09" w:rsidR="00D3691C" w:rsidRPr="00D3691C" w:rsidRDefault="004457A6" w:rsidP="00D3691C">
            <w:pPr>
              <w:pStyle w:val="Zkladntext20"/>
              <w:shd w:val="clear" w:color="auto" w:fill="auto"/>
              <w:tabs>
                <w:tab w:val="left" w:pos="422"/>
              </w:tabs>
              <w:spacing w:before="120" w:line="240" w:lineRule="auto"/>
              <w:ind w:firstLine="0"/>
              <w:rPr>
                <w:rFonts w:ascii="Arial" w:hAnsi="Arial" w:cs="Arial"/>
              </w:rPr>
            </w:pPr>
            <w:r w:rsidRPr="004457A6">
              <w:rPr>
                <w:rFonts w:ascii="Arial" w:hAnsi="Arial" w:cs="Arial"/>
              </w:rPr>
              <w:t>V čl. III bodu 71 se za slova „§ 9a odst. 3,“ vkládají slova „§ 10 odst. 6,“.</w:t>
            </w:r>
          </w:p>
        </w:tc>
        <w:tc>
          <w:tcPr>
            <w:tcW w:w="4926" w:type="dxa"/>
          </w:tcPr>
          <w:p w14:paraId="3701DA34" w14:textId="77777777" w:rsidR="000B73D6" w:rsidRPr="005F65EB" w:rsidRDefault="000B73D6" w:rsidP="000B73D6">
            <w:pPr>
              <w:jc w:val="both"/>
              <w:rPr>
                <w:rFonts w:ascii="Arial" w:hAnsi="Arial" w:cs="Arial"/>
                <w:b/>
              </w:rPr>
            </w:pPr>
            <w:r w:rsidRPr="005F65EB">
              <w:rPr>
                <w:rFonts w:ascii="Arial" w:hAnsi="Arial" w:cs="Arial"/>
                <w:b/>
              </w:rPr>
              <w:t>Souhlas</w:t>
            </w:r>
          </w:p>
          <w:p w14:paraId="52B8BC6D" w14:textId="1FF1B3BF" w:rsidR="00CF7B60" w:rsidRPr="0093259C" w:rsidRDefault="000B73D6" w:rsidP="00B37BA3">
            <w:pPr>
              <w:jc w:val="both"/>
              <w:rPr>
                <w:rFonts w:ascii="Arial" w:hAnsi="Arial" w:cs="Arial"/>
              </w:rPr>
            </w:pPr>
            <w:r>
              <w:rPr>
                <w:rFonts w:ascii="Arial" w:hAnsi="Arial" w:cs="Arial"/>
              </w:rPr>
              <w:t xml:space="preserve">Tento návrh je striktně vázán na návrh A.3. </w:t>
            </w:r>
            <w:r>
              <w:rPr>
                <w:rFonts w:ascii="Arial" w:hAnsi="Arial" w:cs="Arial"/>
              </w:rPr>
              <w:t>Nezbytná l</w:t>
            </w:r>
            <w:r>
              <w:rPr>
                <w:rFonts w:ascii="Arial" w:hAnsi="Arial" w:cs="Arial"/>
              </w:rPr>
              <w:t>egislativně-technická úprava</w:t>
            </w:r>
            <w:r w:rsidR="00641C15">
              <w:rPr>
                <w:rFonts w:ascii="Arial" w:hAnsi="Arial" w:cs="Arial"/>
              </w:rPr>
              <w:t xml:space="preserve"> odkazu</w:t>
            </w:r>
            <w:r>
              <w:rPr>
                <w:rFonts w:ascii="Arial" w:hAnsi="Arial" w:cs="Arial"/>
              </w:rPr>
              <w:t>.</w:t>
            </w:r>
          </w:p>
        </w:tc>
      </w:tr>
      <w:tr w:rsidR="00D27600" w:rsidRPr="0093259C" w14:paraId="47C48467" w14:textId="77777777" w:rsidTr="004F6003">
        <w:trPr>
          <w:trHeight w:val="475"/>
        </w:trPr>
        <w:tc>
          <w:tcPr>
            <w:tcW w:w="704" w:type="dxa"/>
          </w:tcPr>
          <w:p w14:paraId="26F9872B" w14:textId="3F1E9D27" w:rsidR="00D27600" w:rsidRDefault="00D27600" w:rsidP="004F6003">
            <w:pPr>
              <w:spacing w:before="120" w:after="0" w:line="240" w:lineRule="auto"/>
              <w:rPr>
                <w:rFonts w:ascii="Arial" w:hAnsi="Arial" w:cs="Arial"/>
                <w:b/>
              </w:rPr>
            </w:pPr>
            <w:r>
              <w:rPr>
                <w:rFonts w:ascii="Arial" w:hAnsi="Arial" w:cs="Arial"/>
                <w:b/>
              </w:rPr>
              <w:t>A.</w:t>
            </w:r>
            <w:r>
              <w:rPr>
                <w:rFonts w:ascii="Arial" w:hAnsi="Arial" w:cs="Arial"/>
                <w:b/>
              </w:rPr>
              <w:t>10.</w:t>
            </w:r>
          </w:p>
        </w:tc>
        <w:tc>
          <w:tcPr>
            <w:tcW w:w="1843" w:type="dxa"/>
          </w:tcPr>
          <w:p w14:paraId="4DC353B0" w14:textId="77777777" w:rsidR="00D27600" w:rsidRPr="0093259C" w:rsidRDefault="00D27600" w:rsidP="004F6003">
            <w:pPr>
              <w:spacing w:before="120" w:after="0" w:line="240" w:lineRule="auto"/>
              <w:rPr>
                <w:rFonts w:ascii="Arial" w:hAnsi="Arial" w:cs="Arial"/>
                <w:b/>
              </w:rPr>
            </w:pPr>
          </w:p>
        </w:tc>
        <w:tc>
          <w:tcPr>
            <w:tcW w:w="7973" w:type="dxa"/>
          </w:tcPr>
          <w:p w14:paraId="35AB6763" w14:textId="77777777" w:rsidR="000B73D6" w:rsidRDefault="00FF625B" w:rsidP="00FF625B">
            <w:pPr>
              <w:pStyle w:val="Zkladntext20"/>
              <w:shd w:val="clear" w:color="auto" w:fill="auto"/>
              <w:tabs>
                <w:tab w:val="left" w:pos="422"/>
              </w:tabs>
              <w:spacing w:before="120" w:line="240" w:lineRule="auto"/>
              <w:ind w:firstLine="0"/>
              <w:jc w:val="left"/>
              <w:rPr>
                <w:rFonts w:ascii="Arial" w:hAnsi="Arial" w:cs="Arial"/>
              </w:rPr>
            </w:pPr>
            <w:r w:rsidRPr="00FF625B">
              <w:rPr>
                <w:rFonts w:ascii="Arial" w:hAnsi="Arial" w:cs="Arial"/>
              </w:rPr>
              <w:t>V čl. III se za bod 72 vkládá nový bod X, který zní:</w:t>
            </w:r>
          </w:p>
          <w:p w14:paraId="18FE1510" w14:textId="59149140" w:rsidR="000B73D6" w:rsidRDefault="00FF625B" w:rsidP="00FF625B">
            <w:pPr>
              <w:pStyle w:val="Zkladntext20"/>
              <w:shd w:val="clear" w:color="auto" w:fill="auto"/>
              <w:tabs>
                <w:tab w:val="left" w:pos="422"/>
              </w:tabs>
              <w:spacing w:before="120" w:line="240" w:lineRule="auto"/>
              <w:ind w:firstLine="0"/>
              <w:jc w:val="left"/>
              <w:rPr>
                <w:rFonts w:ascii="Arial" w:hAnsi="Arial" w:cs="Arial"/>
              </w:rPr>
            </w:pPr>
            <w:r w:rsidRPr="00FF625B">
              <w:rPr>
                <w:rFonts w:ascii="Arial" w:hAnsi="Arial" w:cs="Arial"/>
              </w:rPr>
              <w:t>„X. V příloze č. 3 pod tabulkou se nadpis „Vysvětlivky:“ zrušuje a vkládá se nový bod 1, který</w:t>
            </w:r>
            <w:r>
              <w:rPr>
                <w:rFonts w:ascii="Arial" w:hAnsi="Arial" w:cs="Arial"/>
              </w:rPr>
              <w:t xml:space="preserve"> </w:t>
            </w:r>
            <w:r w:rsidRPr="00FF625B">
              <w:rPr>
                <w:rFonts w:ascii="Arial" w:hAnsi="Arial" w:cs="Arial"/>
              </w:rPr>
              <w:t>zní:</w:t>
            </w:r>
          </w:p>
          <w:p w14:paraId="1D987AF4" w14:textId="667AB33E" w:rsidR="00FF625B" w:rsidRDefault="00FF625B" w:rsidP="000B73D6">
            <w:pPr>
              <w:pStyle w:val="Zkladntext20"/>
              <w:shd w:val="clear" w:color="auto" w:fill="auto"/>
              <w:tabs>
                <w:tab w:val="left" w:pos="422"/>
              </w:tabs>
              <w:spacing w:before="120" w:line="240" w:lineRule="auto"/>
              <w:ind w:firstLine="0"/>
              <w:rPr>
                <w:rFonts w:ascii="Arial" w:hAnsi="Arial" w:cs="Arial"/>
              </w:rPr>
            </w:pPr>
            <w:r w:rsidRPr="00FF625B">
              <w:rPr>
                <w:rFonts w:ascii="Arial" w:hAnsi="Arial" w:cs="Arial"/>
              </w:rPr>
              <w:t>„1. Požadovaného rozsahu recyklace a celkového využití obalového odpadu je nutné</w:t>
            </w:r>
            <w:r>
              <w:rPr>
                <w:rFonts w:ascii="Arial" w:hAnsi="Arial" w:cs="Arial"/>
              </w:rPr>
              <w:t xml:space="preserve"> </w:t>
            </w:r>
            <w:r w:rsidRPr="00FF625B">
              <w:rPr>
                <w:rFonts w:ascii="Arial" w:hAnsi="Arial" w:cs="Arial"/>
              </w:rPr>
              <w:t>dosáhnout</w:t>
            </w:r>
            <w:r>
              <w:rPr>
                <w:rFonts w:ascii="Arial" w:hAnsi="Arial" w:cs="Arial"/>
              </w:rPr>
              <w:t xml:space="preserve"> </w:t>
            </w:r>
            <w:r w:rsidRPr="00FF625B">
              <w:rPr>
                <w:rFonts w:ascii="Arial" w:hAnsi="Arial" w:cs="Arial"/>
              </w:rPr>
              <w:t>v každém kalendářním roce stanoveného období.“.</w:t>
            </w:r>
            <w:r w:rsidRPr="00FF625B">
              <w:rPr>
                <w:rFonts w:ascii="Arial" w:hAnsi="Arial" w:cs="Arial"/>
              </w:rPr>
              <w:br/>
              <w:t>Dosavadní body 1 až 3 se označují jako body 2 až 4.“.“.</w:t>
            </w:r>
          </w:p>
          <w:p w14:paraId="596E6353" w14:textId="0C3B46B7" w:rsidR="00D27600" w:rsidRPr="00D3691C" w:rsidRDefault="00FF625B" w:rsidP="00FF625B">
            <w:pPr>
              <w:pStyle w:val="Zkladntext20"/>
              <w:shd w:val="clear" w:color="auto" w:fill="auto"/>
              <w:tabs>
                <w:tab w:val="left" w:pos="422"/>
              </w:tabs>
              <w:spacing w:before="120" w:line="240" w:lineRule="auto"/>
              <w:ind w:firstLine="0"/>
              <w:jc w:val="left"/>
              <w:rPr>
                <w:rFonts w:ascii="Arial" w:hAnsi="Arial" w:cs="Arial"/>
              </w:rPr>
            </w:pPr>
            <w:r w:rsidRPr="00FF625B">
              <w:rPr>
                <w:rFonts w:ascii="Arial" w:hAnsi="Arial" w:cs="Arial"/>
              </w:rPr>
              <w:t>Následující body se přečíslují.</w:t>
            </w:r>
          </w:p>
        </w:tc>
        <w:tc>
          <w:tcPr>
            <w:tcW w:w="4926" w:type="dxa"/>
          </w:tcPr>
          <w:p w14:paraId="1B3846FC" w14:textId="77777777" w:rsidR="000B73D6" w:rsidRPr="005F65EB" w:rsidRDefault="000B73D6" w:rsidP="000B73D6">
            <w:pPr>
              <w:jc w:val="both"/>
              <w:rPr>
                <w:rFonts w:ascii="Arial" w:hAnsi="Arial" w:cs="Arial"/>
                <w:b/>
              </w:rPr>
            </w:pPr>
            <w:r w:rsidRPr="005F65EB">
              <w:rPr>
                <w:rFonts w:ascii="Arial" w:hAnsi="Arial" w:cs="Arial"/>
                <w:b/>
              </w:rPr>
              <w:t>Souhlas</w:t>
            </w:r>
          </w:p>
          <w:p w14:paraId="61B0C885" w14:textId="670C9754" w:rsidR="000B73D6" w:rsidRPr="000E0D5E" w:rsidRDefault="000B73D6" w:rsidP="000B73D6">
            <w:pPr>
              <w:jc w:val="both"/>
              <w:rPr>
                <w:rFonts w:ascii="Arial" w:hAnsi="Arial" w:cs="Arial"/>
              </w:rPr>
            </w:pPr>
            <w:r>
              <w:rPr>
                <w:rFonts w:ascii="Arial" w:hAnsi="Arial" w:cs="Arial"/>
              </w:rPr>
              <w:t xml:space="preserve">Pozměňovací návrh jednoznačně stanovuje, že požadovaného rozsahu recyklace a celkového využití obalového odpadu, který je stanoven v příloze č. 3 zákona č. 477/2001 Sb., o obalech </w:t>
            </w:r>
            <w:r w:rsidRPr="009239E6">
              <w:rPr>
                <w:rFonts w:ascii="Arial" w:hAnsi="Arial" w:cs="Arial"/>
              </w:rPr>
              <w:t>a o změně některých zákonů (zákon o obalech)</w:t>
            </w:r>
            <w:r>
              <w:rPr>
                <w:rFonts w:ascii="Arial" w:hAnsi="Arial" w:cs="Arial"/>
              </w:rPr>
              <w:t xml:space="preserve">, ve znění pozdějších předpisů, je zapotřebí dosáhnout v každém kalendářním roce. Příloha č. 3 byla upravena zákonem č. 545/2020 Sb., který upravil rozsah recyklace a celkového využití obalového odpadu až do r. 2035 a stanovil jednotlivá období, během kterých se rozsah recyklace a celkového využití má postupně zvyšovat. Mohlo by však docházet k výkladům, že je možné povinnost využití obalového odpadu splnit pouze za celé stanovené období čtyř let (a ne každoročně, jak to bylo zákonodárcem zamýšleno, i v předcházejících obdobích bylo zapotřebí cíle splnit každoročně). Pozměňovací návrh proto jednoznačně stanovuje, že je třeba </w:t>
            </w:r>
            <w:r>
              <w:rPr>
                <w:rFonts w:ascii="Arial" w:hAnsi="Arial" w:cs="Arial"/>
              </w:rPr>
              <w:lastRenderedPageBreak/>
              <w:t xml:space="preserve">zajistit ze strany povinných osob požadovaný rozsah recyklace a celkového využití </w:t>
            </w:r>
            <w:r w:rsidRPr="00235D05">
              <w:rPr>
                <w:rFonts w:ascii="Arial" w:hAnsi="Arial" w:cs="Arial"/>
              </w:rPr>
              <w:t>v každém kalendářním roce stanoveného období</w:t>
            </w:r>
            <w:r>
              <w:rPr>
                <w:rFonts w:ascii="Arial" w:hAnsi="Arial" w:cs="Arial"/>
              </w:rPr>
              <w:t>.</w:t>
            </w:r>
          </w:p>
          <w:p w14:paraId="7AE53F91" w14:textId="43BBB938" w:rsidR="00D27600" w:rsidRPr="0093259C" w:rsidRDefault="000B73D6" w:rsidP="000B73D6">
            <w:pPr>
              <w:jc w:val="both"/>
              <w:rPr>
                <w:rFonts w:ascii="Arial" w:hAnsi="Arial" w:cs="Arial"/>
              </w:rPr>
            </w:pPr>
            <w:r>
              <w:rPr>
                <w:rFonts w:ascii="Arial" w:hAnsi="Arial" w:cs="Arial"/>
              </w:rPr>
              <w:t>Nadpis „Vysvětlivky:“ pod tabulkou se zrušuje z důvodu zamezení možných výkladů popírajících právní závaznost bodů pod tabulkou označených jako „vysvětlivky“.</w:t>
            </w:r>
          </w:p>
        </w:tc>
      </w:tr>
      <w:tr w:rsidR="00D27600" w:rsidRPr="0093259C" w14:paraId="3B7293D9" w14:textId="77777777" w:rsidTr="004F6003">
        <w:trPr>
          <w:trHeight w:val="475"/>
        </w:trPr>
        <w:tc>
          <w:tcPr>
            <w:tcW w:w="704" w:type="dxa"/>
          </w:tcPr>
          <w:p w14:paraId="0111557D" w14:textId="55C91CFC" w:rsidR="00D27600" w:rsidRDefault="00D27600" w:rsidP="004F6003">
            <w:pPr>
              <w:spacing w:before="120" w:after="0" w:line="240" w:lineRule="auto"/>
              <w:rPr>
                <w:rFonts w:ascii="Arial" w:hAnsi="Arial" w:cs="Arial"/>
                <w:b/>
              </w:rPr>
            </w:pPr>
            <w:r>
              <w:rPr>
                <w:rFonts w:ascii="Arial" w:hAnsi="Arial" w:cs="Arial"/>
                <w:b/>
              </w:rPr>
              <w:lastRenderedPageBreak/>
              <w:t>A.11.</w:t>
            </w:r>
          </w:p>
        </w:tc>
        <w:tc>
          <w:tcPr>
            <w:tcW w:w="1843" w:type="dxa"/>
          </w:tcPr>
          <w:p w14:paraId="1109519D" w14:textId="77777777" w:rsidR="00D27600" w:rsidRPr="0093259C" w:rsidRDefault="00D27600" w:rsidP="004F6003">
            <w:pPr>
              <w:spacing w:before="120" w:after="0" w:line="240" w:lineRule="auto"/>
              <w:rPr>
                <w:rFonts w:ascii="Arial" w:hAnsi="Arial" w:cs="Arial"/>
                <w:b/>
              </w:rPr>
            </w:pPr>
          </w:p>
        </w:tc>
        <w:tc>
          <w:tcPr>
            <w:tcW w:w="7973" w:type="dxa"/>
          </w:tcPr>
          <w:p w14:paraId="0F357633" w14:textId="77777777" w:rsidR="000B73D6" w:rsidRDefault="008B346F" w:rsidP="000B73D6">
            <w:pPr>
              <w:pStyle w:val="Zkladntext20"/>
              <w:shd w:val="clear" w:color="auto" w:fill="auto"/>
              <w:tabs>
                <w:tab w:val="left" w:pos="422"/>
              </w:tabs>
              <w:spacing w:before="120" w:line="240" w:lineRule="auto"/>
              <w:ind w:firstLine="0"/>
              <w:jc w:val="left"/>
              <w:rPr>
                <w:rFonts w:ascii="Arial" w:hAnsi="Arial" w:cs="Arial"/>
              </w:rPr>
            </w:pPr>
            <w:r w:rsidRPr="008B346F">
              <w:rPr>
                <w:rFonts w:ascii="Arial" w:hAnsi="Arial" w:cs="Arial"/>
              </w:rPr>
              <w:t>V čl. IV se doplňuje bod 6, který zní:</w:t>
            </w:r>
          </w:p>
          <w:p w14:paraId="2D8CA62A" w14:textId="11042A8B" w:rsidR="00D27600" w:rsidRPr="00D3691C" w:rsidRDefault="008B346F" w:rsidP="000B73D6">
            <w:pPr>
              <w:pStyle w:val="Zkladntext20"/>
              <w:shd w:val="clear" w:color="auto" w:fill="auto"/>
              <w:tabs>
                <w:tab w:val="left" w:pos="422"/>
              </w:tabs>
              <w:spacing w:before="120" w:line="240" w:lineRule="auto"/>
              <w:ind w:firstLine="0"/>
              <w:rPr>
                <w:rFonts w:ascii="Arial" w:hAnsi="Arial" w:cs="Arial"/>
              </w:rPr>
            </w:pPr>
            <w:r w:rsidRPr="008B346F">
              <w:rPr>
                <w:rFonts w:ascii="Arial" w:hAnsi="Arial" w:cs="Arial"/>
              </w:rPr>
              <w:t>„6. Smlouva o sdruženém plnění, uzavřená podle zákona č. 477/2001 Sb., ve znění účinném</w:t>
            </w:r>
            <w:r>
              <w:rPr>
                <w:rFonts w:ascii="Arial" w:hAnsi="Arial" w:cs="Arial"/>
              </w:rPr>
              <w:t xml:space="preserve"> </w:t>
            </w:r>
            <w:r w:rsidRPr="008B346F">
              <w:rPr>
                <w:rFonts w:ascii="Arial" w:hAnsi="Arial" w:cs="Arial"/>
              </w:rPr>
              <w:t>přede dnem nabytí účinnosti tohoto zákona, se považuje za smlouvu o sdruženém plnění podle</w:t>
            </w:r>
            <w:r>
              <w:rPr>
                <w:rFonts w:ascii="Arial" w:hAnsi="Arial" w:cs="Arial"/>
              </w:rPr>
              <w:t xml:space="preserve"> </w:t>
            </w:r>
            <w:r w:rsidRPr="008B346F">
              <w:rPr>
                <w:rFonts w:ascii="Arial" w:hAnsi="Arial" w:cs="Arial"/>
              </w:rPr>
              <w:t>§ 13 odst. 1 písm. c) zákona č. 477/2001 Sb., ve znění účinném ode dne nabytí účinnosti tohoto</w:t>
            </w:r>
            <w:r>
              <w:rPr>
                <w:rFonts w:ascii="Arial" w:hAnsi="Arial" w:cs="Arial"/>
              </w:rPr>
              <w:t xml:space="preserve"> </w:t>
            </w:r>
            <w:r w:rsidRPr="008B346F">
              <w:rPr>
                <w:rFonts w:ascii="Arial" w:hAnsi="Arial" w:cs="Arial"/>
              </w:rPr>
              <w:t>zákona.“.</w:t>
            </w:r>
          </w:p>
        </w:tc>
        <w:tc>
          <w:tcPr>
            <w:tcW w:w="4926" w:type="dxa"/>
          </w:tcPr>
          <w:p w14:paraId="23A13289" w14:textId="77777777" w:rsidR="000B73D6" w:rsidRPr="005F65EB" w:rsidRDefault="000B73D6" w:rsidP="000B73D6">
            <w:pPr>
              <w:jc w:val="both"/>
              <w:rPr>
                <w:rFonts w:ascii="Arial" w:hAnsi="Arial" w:cs="Arial"/>
                <w:b/>
              </w:rPr>
            </w:pPr>
            <w:r w:rsidRPr="005F65EB">
              <w:rPr>
                <w:rFonts w:ascii="Arial" w:hAnsi="Arial" w:cs="Arial"/>
                <w:b/>
              </w:rPr>
              <w:t>Souhlas</w:t>
            </w:r>
          </w:p>
          <w:p w14:paraId="07CF6C18" w14:textId="108D0994" w:rsidR="00D27600" w:rsidRPr="0093259C" w:rsidRDefault="000B73D6" w:rsidP="000B73D6">
            <w:pPr>
              <w:jc w:val="both"/>
              <w:rPr>
                <w:rFonts w:ascii="Arial" w:hAnsi="Arial" w:cs="Arial"/>
              </w:rPr>
            </w:pPr>
            <w:r w:rsidRPr="00D863DE">
              <w:rPr>
                <w:rFonts w:ascii="Arial" w:hAnsi="Arial" w:cs="Arial"/>
              </w:rPr>
              <w:t>Novela zákona o obalech částečně rozšiřuje předmět smlouvy o sdruženém plnění, když na jejím základě mají být nově plněny mj. povinnosti podle § 10a a § 12a zákona o obalech. I nadále ale platí, že nelze uzavřít smlouvu o sdruženém plnění pouze pro zajištění plnění části povinností (§ 13 odst. 1 písm. c), § 21 odst. 1 písm. c) zákona o obalech) a není možné mít různé smlouvy o sdruženém plnění s různým obsahem. Není proto možné, aby autorizovaná společnost po nabytí účinnosti novely pro některé klienty povinnosti podle § 10a a § 12a plnila, a pro jiné nikoliv. Z legislativního hlediska se proto jeví jako vhodné, aby bylo explicitně zakotveno, že dosavadní smlouvy o sdruženém plnění pokrývají i po přijetí novely plný rozsah povinností, na něž se podle novely smlouva o sdruženém plnění vztahuje, a postavilo se tak najisto, že není třeba je nahrazovat nebo k nim uzavírat dodatky.</w:t>
            </w:r>
          </w:p>
        </w:tc>
      </w:tr>
      <w:tr w:rsidR="00D27600" w:rsidRPr="0093259C" w14:paraId="7A09628D" w14:textId="77777777" w:rsidTr="004F6003">
        <w:trPr>
          <w:trHeight w:val="475"/>
        </w:trPr>
        <w:tc>
          <w:tcPr>
            <w:tcW w:w="704" w:type="dxa"/>
          </w:tcPr>
          <w:p w14:paraId="7EDC3F24" w14:textId="444B6E93" w:rsidR="00D27600" w:rsidRDefault="00D27600" w:rsidP="004F6003">
            <w:pPr>
              <w:spacing w:before="120" w:after="0" w:line="240" w:lineRule="auto"/>
              <w:rPr>
                <w:rFonts w:ascii="Arial" w:hAnsi="Arial" w:cs="Arial"/>
                <w:b/>
              </w:rPr>
            </w:pPr>
            <w:r>
              <w:rPr>
                <w:rFonts w:ascii="Arial" w:hAnsi="Arial" w:cs="Arial"/>
                <w:b/>
              </w:rPr>
              <w:t>A.12.</w:t>
            </w:r>
          </w:p>
        </w:tc>
        <w:tc>
          <w:tcPr>
            <w:tcW w:w="1843" w:type="dxa"/>
          </w:tcPr>
          <w:p w14:paraId="626F4176" w14:textId="77777777" w:rsidR="00D27600" w:rsidRPr="0093259C" w:rsidRDefault="00D27600" w:rsidP="004F6003">
            <w:pPr>
              <w:spacing w:before="120" w:after="0" w:line="240" w:lineRule="auto"/>
              <w:rPr>
                <w:rFonts w:ascii="Arial" w:hAnsi="Arial" w:cs="Arial"/>
                <w:b/>
              </w:rPr>
            </w:pPr>
          </w:p>
        </w:tc>
        <w:tc>
          <w:tcPr>
            <w:tcW w:w="7973" w:type="dxa"/>
          </w:tcPr>
          <w:p w14:paraId="612F2F98" w14:textId="3C8BB831" w:rsidR="00D27600" w:rsidRPr="00D3691C" w:rsidRDefault="008B346F" w:rsidP="00D3691C">
            <w:pPr>
              <w:pStyle w:val="Zkladntext20"/>
              <w:shd w:val="clear" w:color="auto" w:fill="auto"/>
              <w:tabs>
                <w:tab w:val="left" w:pos="422"/>
              </w:tabs>
              <w:spacing w:before="120" w:line="240" w:lineRule="auto"/>
              <w:ind w:firstLine="0"/>
              <w:rPr>
                <w:rFonts w:ascii="Arial" w:hAnsi="Arial" w:cs="Arial"/>
              </w:rPr>
            </w:pPr>
            <w:r w:rsidRPr="008B346F">
              <w:rPr>
                <w:rFonts w:ascii="Arial" w:hAnsi="Arial" w:cs="Arial"/>
              </w:rPr>
              <w:t>V čl. VIII se slova „dnem 1. července 2022“ nahrazují slovy „prvním dnem druhého</w:t>
            </w:r>
            <w:r w:rsidRPr="008B346F">
              <w:rPr>
                <w:rFonts w:ascii="Arial" w:hAnsi="Arial" w:cs="Arial"/>
              </w:rPr>
              <w:br/>
              <w:t>kalendářního měsíce následujícího po dni jeho vyhlášení“.</w:t>
            </w:r>
          </w:p>
        </w:tc>
        <w:tc>
          <w:tcPr>
            <w:tcW w:w="4926" w:type="dxa"/>
          </w:tcPr>
          <w:p w14:paraId="072F61C1" w14:textId="77777777" w:rsidR="008B346F" w:rsidRPr="005F65EB" w:rsidRDefault="008B346F" w:rsidP="008B346F">
            <w:pPr>
              <w:jc w:val="both"/>
              <w:rPr>
                <w:rFonts w:ascii="Arial" w:hAnsi="Arial" w:cs="Arial"/>
                <w:b/>
              </w:rPr>
            </w:pPr>
            <w:r w:rsidRPr="005F65EB">
              <w:rPr>
                <w:rFonts w:ascii="Arial" w:hAnsi="Arial" w:cs="Arial"/>
                <w:b/>
              </w:rPr>
              <w:t>Souhlas</w:t>
            </w:r>
          </w:p>
          <w:p w14:paraId="6AE98520" w14:textId="77777777" w:rsidR="008B346F" w:rsidRDefault="008B346F" w:rsidP="008B346F">
            <w:pPr>
              <w:jc w:val="both"/>
              <w:rPr>
                <w:rFonts w:ascii="Arial" w:hAnsi="Arial" w:cs="Arial"/>
              </w:rPr>
            </w:pPr>
            <w:r>
              <w:rPr>
                <w:rFonts w:ascii="Arial" w:hAnsi="Arial" w:cs="Arial"/>
              </w:rPr>
              <w:t xml:space="preserve">Termín nabytí účinnosti zákona byl stanoven s ohledem na </w:t>
            </w:r>
            <w:r w:rsidRPr="004C6400">
              <w:rPr>
                <w:rFonts w:ascii="Arial" w:hAnsi="Arial" w:cs="Arial"/>
              </w:rPr>
              <w:t xml:space="preserve">tzv. jednotné dny právní účinnosti </w:t>
            </w:r>
            <w:r w:rsidRPr="004C6400">
              <w:rPr>
                <w:rFonts w:ascii="Arial" w:hAnsi="Arial" w:cs="Arial"/>
              </w:rPr>
              <w:lastRenderedPageBreak/>
              <w:t>podle § 3 odst. 3 zákona č. 309/1999 Sb., ve znění zákona č. 277/2019 Sb.</w:t>
            </w:r>
            <w:r>
              <w:rPr>
                <w:rFonts w:ascii="Arial" w:hAnsi="Arial" w:cs="Arial"/>
              </w:rPr>
              <w:t xml:space="preserve">, podle kterého mají zákony nabývat zásadně ve dvou termínech, a to k 1. lednu a 1. červenci kalendářního roku. Vzhledem k tomu Ministerstvo životního prostředí navrhlo, aby zákon nabyl účinnosti </w:t>
            </w:r>
            <w:r>
              <w:rPr>
                <w:rFonts w:ascii="Arial" w:hAnsi="Arial" w:cs="Arial"/>
              </w:rPr>
              <w:br/>
              <w:t>k 1. červenci 2022 (</w:t>
            </w:r>
            <w:r w:rsidRPr="004C6400">
              <w:rPr>
                <w:rFonts w:ascii="Arial" w:hAnsi="Arial" w:cs="Arial"/>
              </w:rPr>
              <w:t>tr</w:t>
            </w:r>
            <w:r>
              <w:rPr>
                <w:rFonts w:ascii="Arial" w:hAnsi="Arial" w:cs="Arial"/>
              </w:rPr>
              <w:t>anspoziční lhůta</w:t>
            </w:r>
            <w:r w:rsidRPr="004C6400">
              <w:rPr>
                <w:rFonts w:ascii="Arial" w:hAnsi="Arial" w:cs="Arial"/>
              </w:rPr>
              <w:t xml:space="preserve"> směrnice</w:t>
            </w:r>
            <w:r>
              <w:rPr>
                <w:rFonts w:ascii="Arial" w:hAnsi="Arial" w:cs="Arial"/>
              </w:rPr>
              <w:t xml:space="preserve"> </w:t>
            </w:r>
            <w:r w:rsidRPr="00256E20">
              <w:rPr>
                <w:rFonts w:ascii="Arial" w:hAnsi="Arial" w:cs="Arial"/>
              </w:rPr>
              <w:t>2019/904 ze dne 5. června 2019 o omezení dopadu některých plastových výrobků na životní prostředí</w:t>
            </w:r>
            <w:r>
              <w:rPr>
                <w:rFonts w:ascii="Arial" w:hAnsi="Arial" w:cs="Arial"/>
              </w:rPr>
              <w:t xml:space="preserve"> uplynula již</w:t>
            </w:r>
            <w:r w:rsidRPr="004C6400">
              <w:rPr>
                <w:rFonts w:ascii="Arial" w:hAnsi="Arial" w:cs="Arial"/>
              </w:rPr>
              <w:t xml:space="preserve"> 3. červen</w:t>
            </w:r>
            <w:r>
              <w:rPr>
                <w:rFonts w:ascii="Arial" w:hAnsi="Arial" w:cs="Arial"/>
              </w:rPr>
              <w:t>ce</w:t>
            </w:r>
            <w:r w:rsidRPr="004C6400">
              <w:rPr>
                <w:rFonts w:ascii="Arial" w:hAnsi="Arial" w:cs="Arial"/>
              </w:rPr>
              <w:t xml:space="preserve"> 2021</w:t>
            </w:r>
            <w:r>
              <w:rPr>
                <w:rFonts w:ascii="Arial" w:hAnsi="Arial" w:cs="Arial"/>
              </w:rPr>
              <w:t>).</w:t>
            </w:r>
          </w:p>
          <w:p w14:paraId="6A41D15A" w14:textId="27DFA7BC" w:rsidR="00D27600" w:rsidRPr="0093259C" w:rsidRDefault="008B346F" w:rsidP="008B346F">
            <w:pPr>
              <w:jc w:val="both"/>
              <w:rPr>
                <w:rFonts w:ascii="Arial" w:hAnsi="Arial" w:cs="Arial"/>
              </w:rPr>
            </w:pPr>
            <w:r>
              <w:rPr>
                <w:rFonts w:ascii="Arial" w:hAnsi="Arial" w:cs="Arial"/>
              </w:rPr>
              <w:t xml:space="preserve">V době zaslání návrhu zákona k projednání do Poslanecké sněmovny Parlamentu ČR se tento termín jevil jako reálný. Dolní komora Parlamentu se však musela v daném období zabývat souběžně jinými krizovými situacemi a návrhy (zejm. spojenými s pandemií Covid-19), proto přijetí k 1. červenci 2022 již není reálné. Zároveň je ovšem nezbytné, aby zákon nabyl účinnosti v co nejbližším termínu, aby Česká republika nebyla vystavena riziku sankcí ze strany Evropské komise, a adresáti povinností měli čas na přizpůsobení (tedy aby zákon měl dostatečnou </w:t>
            </w:r>
            <w:proofErr w:type="spellStart"/>
            <w:r>
              <w:rPr>
                <w:rFonts w:ascii="Arial" w:hAnsi="Arial" w:cs="Arial"/>
              </w:rPr>
              <w:t>legisvakanční</w:t>
            </w:r>
            <w:proofErr w:type="spellEnd"/>
            <w:r>
              <w:rPr>
                <w:rFonts w:ascii="Arial" w:hAnsi="Arial" w:cs="Arial"/>
              </w:rPr>
              <w:t xml:space="preserve"> dobu). </w:t>
            </w:r>
            <w:r w:rsidRPr="0032363D">
              <w:rPr>
                <w:rFonts w:ascii="Arial" w:hAnsi="Arial" w:cs="Arial"/>
              </w:rPr>
              <w:t>Pozměňovací návrh proto stanovuje, že</w:t>
            </w:r>
            <w:r>
              <w:rPr>
                <w:rFonts w:ascii="Arial" w:hAnsi="Arial" w:cs="Arial"/>
              </w:rPr>
              <w:t xml:space="preserve"> navrhovaný zákon nabývá účinnosti </w:t>
            </w:r>
            <w:r w:rsidRPr="00F63055">
              <w:rPr>
                <w:rFonts w:ascii="Arial" w:hAnsi="Arial" w:cs="Arial"/>
              </w:rPr>
              <w:t>prvním dnem druhého kalendářního měsíce následujícího po dni jeho vyhlášení</w:t>
            </w:r>
            <w:r>
              <w:rPr>
                <w:rFonts w:ascii="Arial" w:hAnsi="Arial" w:cs="Arial"/>
              </w:rPr>
              <w:t>.</w:t>
            </w:r>
          </w:p>
        </w:tc>
      </w:tr>
      <w:tr w:rsidR="00D27600" w:rsidRPr="0093259C" w14:paraId="0AF667D8" w14:textId="77777777" w:rsidTr="004F6003">
        <w:trPr>
          <w:trHeight w:val="475"/>
        </w:trPr>
        <w:tc>
          <w:tcPr>
            <w:tcW w:w="704" w:type="dxa"/>
          </w:tcPr>
          <w:p w14:paraId="3D46ED5D" w14:textId="0FDD0BBF" w:rsidR="00D27600" w:rsidRDefault="00D27600" w:rsidP="004F6003">
            <w:pPr>
              <w:spacing w:before="120" w:after="0" w:line="240" w:lineRule="auto"/>
              <w:rPr>
                <w:rFonts w:ascii="Arial" w:hAnsi="Arial" w:cs="Arial"/>
                <w:b/>
              </w:rPr>
            </w:pPr>
            <w:r>
              <w:rPr>
                <w:rFonts w:ascii="Arial" w:hAnsi="Arial" w:cs="Arial"/>
                <w:b/>
              </w:rPr>
              <w:lastRenderedPageBreak/>
              <w:t>A.13.</w:t>
            </w:r>
          </w:p>
        </w:tc>
        <w:tc>
          <w:tcPr>
            <w:tcW w:w="1843" w:type="dxa"/>
          </w:tcPr>
          <w:p w14:paraId="650CCAA5" w14:textId="77777777" w:rsidR="00D27600" w:rsidRPr="0093259C" w:rsidRDefault="00D27600" w:rsidP="004F6003">
            <w:pPr>
              <w:spacing w:before="120" w:after="0" w:line="240" w:lineRule="auto"/>
              <w:rPr>
                <w:rFonts w:ascii="Arial" w:hAnsi="Arial" w:cs="Arial"/>
                <w:b/>
              </w:rPr>
            </w:pPr>
          </w:p>
        </w:tc>
        <w:tc>
          <w:tcPr>
            <w:tcW w:w="7973" w:type="dxa"/>
          </w:tcPr>
          <w:p w14:paraId="36C70F2F" w14:textId="14B3B0BF" w:rsidR="00D27600" w:rsidRPr="00D3691C" w:rsidRDefault="008B346F" w:rsidP="00D3691C">
            <w:pPr>
              <w:pStyle w:val="Zkladntext20"/>
              <w:shd w:val="clear" w:color="auto" w:fill="auto"/>
              <w:tabs>
                <w:tab w:val="left" w:pos="422"/>
              </w:tabs>
              <w:spacing w:before="120" w:line="240" w:lineRule="auto"/>
              <w:ind w:firstLine="0"/>
              <w:rPr>
                <w:rFonts w:ascii="Arial" w:hAnsi="Arial" w:cs="Arial"/>
              </w:rPr>
            </w:pPr>
            <w:r w:rsidRPr="008B346F">
              <w:rPr>
                <w:rFonts w:ascii="Arial" w:hAnsi="Arial" w:cs="Arial"/>
              </w:rPr>
              <w:t>V čl. VIII se číslo „32“ nahrazuje číslem „34“.</w:t>
            </w:r>
          </w:p>
        </w:tc>
        <w:tc>
          <w:tcPr>
            <w:tcW w:w="4926" w:type="dxa"/>
          </w:tcPr>
          <w:p w14:paraId="75FE2230" w14:textId="77777777" w:rsidR="0049596D" w:rsidRPr="005F65EB" w:rsidRDefault="0049596D" w:rsidP="0049596D">
            <w:pPr>
              <w:jc w:val="both"/>
              <w:rPr>
                <w:rFonts w:ascii="Arial" w:hAnsi="Arial" w:cs="Arial"/>
                <w:b/>
              </w:rPr>
            </w:pPr>
            <w:r w:rsidRPr="005F65EB">
              <w:rPr>
                <w:rFonts w:ascii="Arial" w:hAnsi="Arial" w:cs="Arial"/>
                <w:b/>
              </w:rPr>
              <w:t>Souhlas</w:t>
            </w:r>
          </w:p>
          <w:p w14:paraId="0D9E3F7D" w14:textId="5EA14930" w:rsidR="00D27600" w:rsidRPr="0093259C" w:rsidRDefault="0049596D" w:rsidP="0049596D">
            <w:pPr>
              <w:rPr>
                <w:rFonts w:ascii="Arial" w:hAnsi="Arial" w:cs="Arial"/>
              </w:rPr>
            </w:pPr>
            <w:r>
              <w:rPr>
                <w:rFonts w:ascii="Arial" w:hAnsi="Arial" w:cs="Arial"/>
              </w:rPr>
              <w:t>Tento návrh je striktně vázán na</w:t>
            </w:r>
            <w:r>
              <w:rPr>
                <w:rFonts w:ascii="Arial" w:hAnsi="Arial" w:cs="Arial"/>
              </w:rPr>
              <w:t xml:space="preserve"> návrhy A.2., A.3. a A.10. Legislativně-technická úprava v návaznosti na </w:t>
            </w:r>
            <w:r w:rsidRPr="0049596D">
              <w:rPr>
                <w:rFonts w:ascii="Arial" w:hAnsi="Arial" w:cs="Arial"/>
              </w:rPr>
              <w:t>přečíslování novelizačních bodů</w:t>
            </w:r>
            <w:r>
              <w:rPr>
                <w:rFonts w:ascii="Arial" w:hAnsi="Arial" w:cs="Arial"/>
              </w:rPr>
              <w:t>.</w:t>
            </w:r>
          </w:p>
        </w:tc>
      </w:tr>
      <w:tr w:rsidR="00562CD8" w:rsidRPr="0093259C" w14:paraId="0F71B8D2" w14:textId="77777777" w:rsidTr="004F6003">
        <w:trPr>
          <w:trHeight w:val="475"/>
        </w:trPr>
        <w:tc>
          <w:tcPr>
            <w:tcW w:w="704" w:type="dxa"/>
            <w:shd w:val="clear" w:color="auto" w:fill="FFFF00"/>
          </w:tcPr>
          <w:p w14:paraId="1219FA13" w14:textId="77777777" w:rsidR="00562CD8" w:rsidRDefault="00562CD8" w:rsidP="00562CD8">
            <w:pPr>
              <w:spacing w:before="120" w:after="0" w:line="240" w:lineRule="auto"/>
              <w:rPr>
                <w:rFonts w:ascii="Arial" w:hAnsi="Arial" w:cs="Arial"/>
                <w:b/>
              </w:rPr>
            </w:pPr>
          </w:p>
        </w:tc>
        <w:tc>
          <w:tcPr>
            <w:tcW w:w="14742" w:type="dxa"/>
            <w:gridSpan w:val="3"/>
            <w:shd w:val="clear" w:color="auto" w:fill="FFFF00"/>
          </w:tcPr>
          <w:p w14:paraId="73EABD6B" w14:textId="07997E0A" w:rsidR="00562CD8" w:rsidRPr="004B4A1F" w:rsidRDefault="00562CD8" w:rsidP="00562CD8">
            <w:pPr>
              <w:spacing w:before="120" w:after="0" w:line="240" w:lineRule="auto"/>
              <w:rPr>
                <w:rFonts w:ascii="Arial" w:hAnsi="Arial" w:cs="Arial"/>
                <w:b/>
              </w:rPr>
            </w:pPr>
            <w:r>
              <w:rPr>
                <w:rFonts w:ascii="Arial" w:hAnsi="Arial" w:cs="Arial"/>
                <w:b/>
              </w:rPr>
              <w:t>P</w:t>
            </w:r>
            <w:r w:rsidRPr="004B4A1F">
              <w:rPr>
                <w:rFonts w:ascii="Arial" w:hAnsi="Arial" w:cs="Arial"/>
                <w:b/>
              </w:rPr>
              <w:t xml:space="preserve">ozměňovací návrhy </w:t>
            </w:r>
            <w:r>
              <w:rPr>
                <w:rFonts w:ascii="Arial" w:hAnsi="Arial" w:cs="Arial"/>
                <w:b/>
              </w:rPr>
              <w:t xml:space="preserve">přednesené ve </w:t>
            </w:r>
            <w:r w:rsidRPr="004B4A1F">
              <w:rPr>
                <w:rFonts w:ascii="Arial" w:hAnsi="Arial" w:cs="Arial"/>
                <w:b/>
              </w:rPr>
              <w:t>2. čtení</w:t>
            </w:r>
            <w:r w:rsidR="00841A8E">
              <w:rPr>
                <w:rFonts w:ascii="Arial" w:hAnsi="Arial" w:cs="Arial"/>
                <w:b/>
              </w:rPr>
              <w:t xml:space="preserve"> dne </w:t>
            </w:r>
            <w:r w:rsidR="00CC4823">
              <w:rPr>
                <w:rFonts w:ascii="Arial" w:hAnsi="Arial" w:cs="Arial"/>
                <w:b/>
              </w:rPr>
              <w:t>3</w:t>
            </w:r>
            <w:r w:rsidR="00841A8E">
              <w:rPr>
                <w:rFonts w:ascii="Arial" w:hAnsi="Arial" w:cs="Arial"/>
                <w:b/>
              </w:rPr>
              <w:t xml:space="preserve">. </w:t>
            </w:r>
            <w:r w:rsidR="00CC4823">
              <w:rPr>
                <w:rFonts w:ascii="Arial" w:hAnsi="Arial" w:cs="Arial"/>
                <w:b/>
              </w:rPr>
              <w:t>6</w:t>
            </w:r>
            <w:r>
              <w:rPr>
                <w:rFonts w:ascii="Arial" w:hAnsi="Arial" w:cs="Arial"/>
                <w:b/>
              </w:rPr>
              <w:t>. 202</w:t>
            </w:r>
            <w:r w:rsidR="00CC4823">
              <w:rPr>
                <w:rFonts w:ascii="Arial" w:hAnsi="Arial" w:cs="Arial"/>
                <w:b/>
              </w:rPr>
              <w:t>2</w:t>
            </w:r>
          </w:p>
        </w:tc>
      </w:tr>
      <w:tr w:rsidR="00942C6D" w:rsidRPr="0093259C" w14:paraId="0883AB84" w14:textId="77777777" w:rsidTr="004F6003">
        <w:trPr>
          <w:trHeight w:val="475"/>
        </w:trPr>
        <w:tc>
          <w:tcPr>
            <w:tcW w:w="704" w:type="dxa"/>
          </w:tcPr>
          <w:p w14:paraId="26EE1305" w14:textId="512C37DA" w:rsidR="00942C6D" w:rsidRPr="00942C6D" w:rsidRDefault="00942C6D" w:rsidP="00942C6D">
            <w:pPr>
              <w:pStyle w:val="Nadpis"/>
              <w:spacing w:before="120" w:after="0"/>
              <w:rPr>
                <w:rFonts w:cs="Arial"/>
                <w:b/>
                <w:bCs/>
                <w:sz w:val="22"/>
                <w:szCs w:val="22"/>
              </w:rPr>
            </w:pPr>
            <w:r w:rsidRPr="00942C6D">
              <w:rPr>
                <w:rFonts w:cs="Arial"/>
                <w:b/>
                <w:sz w:val="22"/>
                <w:szCs w:val="22"/>
              </w:rPr>
              <w:t>B.1</w:t>
            </w:r>
            <w:r w:rsidR="002950DC">
              <w:rPr>
                <w:rFonts w:cs="Arial"/>
                <w:b/>
                <w:sz w:val="22"/>
                <w:szCs w:val="22"/>
              </w:rPr>
              <w:t>.</w:t>
            </w:r>
          </w:p>
        </w:tc>
        <w:tc>
          <w:tcPr>
            <w:tcW w:w="1843" w:type="dxa"/>
          </w:tcPr>
          <w:p w14:paraId="438186A9" w14:textId="1D063A7E" w:rsidR="00942C6D" w:rsidRPr="00942C6D" w:rsidRDefault="00942C6D" w:rsidP="00942C6D">
            <w:pPr>
              <w:pStyle w:val="Nadpis"/>
              <w:spacing w:before="120" w:after="0"/>
              <w:rPr>
                <w:rFonts w:cs="Arial"/>
                <w:b/>
                <w:bCs/>
                <w:sz w:val="22"/>
                <w:szCs w:val="22"/>
              </w:rPr>
            </w:pPr>
            <w:r w:rsidRPr="00942C6D">
              <w:rPr>
                <w:rFonts w:cs="Arial"/>
                <w:b/>
                <w:bCs/>
                <w:sz w:val="22"/>
                <w:szCs w:val="22"/>
              </w:rPr>
              <w:t>Poslan</w:t>
            </w:r>
            <w:r w:rsidR="00FF625B">
              <w:rPr>
                <w:rFonts w:cs="Arial"/>
                <w:b/>
                <w:bCs/>
                <w:sz w:val="22"/>
                <w:szCs w:val="22"/>
              </w:rPr>
              <w:t>kyně</w:t>
            </w:r>
            <w:r w:rsidRPr="00942C6D">
              <w:rPr>
                <w:rFonts w:cs="Arial"/>
                <w:b/>
                <w:bCs/>
                <w:sz w:val="22"/>
                <w:szCs w:val="22"/>
              </w:rPr>
              <w:t xml:space="preserve"> </w:t>
            </w:r>
            <w:r w:rsidR="00FF625B">
              <w:rPr>
                <w:rFonts w:cs="Arial"/>
                <w:b/>
                <w:bCs/>
                <w:sz w:val="22"/>
                <w:szCs w:val="22"/>
              </w:rPr>
              <w:t>Peštová</w:t>
            </w:r>
            <w:r w:rsidRPr="00942C6D">
              <w:rPr>
                <w:rFonts w:cs="Arial"/>
                <w:b/>
                <w:bCs/>
                <w:sz w:val="22"/>
                <w:szCs w:val="22"/>
              </w:rPr>
              <w:t xml:space="preserve"> </w:t>
            </w:r>
          </w:p>
          <w:p w14:paraId="4022DD4E" w14:textId="6B167BD5" w:rsidR="00942C6D" w:rsidRPr="00541C95" w:rsidRDefault="00942C6D" w:rsidP="00541C95">
            <w:pPr>
              <w:pStyle w:val="Nadpis"/>
              <w:spacing w:after="0"/>
              <w:rPr>
                <w:rFonts w:cs="Arial"/>
                <w:b/>
                <w:bCs/>
                <w:sz w:val="22"/>
                <w:szCs w:val="22"/>
              </w:rPr>
            </w:pPr>
            <w:r w:rsidRPr="00942C6D">
              <w:rPr>
                <w:rFonts w:cs="Arial"/>
                <w:b/>
                <w:bCs/>
                <w:sz w:val="22"/>
                <w:szCs w:val="22"/>
              </w:rPr>
              <w:t xml:space="preserve">SD </w:t>
            </w:r>
            <w:r w:rsidR="00344C5C">
              <w:rPr>
                <w:rFonts w:cs="Arial"/>
                <w:b/>
                <w:bCs/>
                <w:sz w:val="22"/>
                <w:szCs w:val="22"/>
              </w:rPr>
              <w:t>825</w:t>
            </w:r>
          </w:p>
        </w:tc>
        <w:tc>
          <w:tcPr>
            <w:tcW w:w="7973" w:type="dxa"/>
          </w:tcPr>
          <w:p w14:paraId="731B64B8" w14:textId="77777777" w:rsidR="00344C5C" w:rsidRPr="00344C5C" w:rsidRDefault="00344C5C" w:rsidP="00344C5C">
            <w:pPr>
              <w:tabs>
                <w:tab w:val="left" w:pos="284"/>
              </w:tabs>
              <w:jc w:val="both"/>
              <w:rPr>
                <w:rFonts w:ascii="Arial" w:hAnsi="Arial" w:cs="Arial"/>
              </w:rPr>
            </w:pPr>
            <w:r w:rsidRPr="00344C5C">
              <w:rPr>
                <w:rFonts w:ascii="Arial" w:hAnsi="Arial" w:cs="Arial"/>
              </w:rPr>
              <w:t>V čl. III se za bod 46 vkládá nový bod, který zní:</w:t>
            </w:r>
          </w:p>
          <w:p w14:paraId="3905C250" w14:textId="21EFEA58" w:rsidR="00344C5C" w:rsidRPr="00344C5C" w:rsidRDefault="00344C5C" w:rsidP="00344C5C">
            <w:pPr>
              <w:tabs>
                <w:tab w:val="left" w:pos="284"/>
              </w:tabs>
              <w:jc w:val="both"/>
              <w:rPr>
                <w:rFonts w:ascii="Arial" w:hAnsi="Arial" w:cs="Arial"/>
              </w:rPr>
            </w:pPr>
            <w:r w:rsidRPr="00344C5C">
              <w:rPr>
                <w:rFonts w:ascii="Arial" w:hAnsi="Arial" w:cs="Arial"/>
              </w:rPr>
              <w:t>„x. V § 21 odst. 1 písm. j) se za slova „zjišťovat podíl odpadů z obalů v tříděném komunálním</w:t>
            </w:r>
            <w:r>
              <w:rPr>
                <w:rFonts w:ascii="Arial" w:hAnsi="Arial" w:cs="Arial"/>
              </w:rPr>
              <w:t xml:space="preserve"> </w:t>
            </w:r>
            <w:r w:rsidRPr="00344C5C">
              <w:rPr>
                <w:rFonts w:ascii="Arial" w:hAnsi="Arial" w:cs="Arial"/>
              </w:rPr>
              <w:t>odpadu“ vkládají slova „a v odpadu, s nímž se nakládá v zařízeních na úpravu odpadů</w:t>
            </w:r>
            <w:r>
              <w:rPr>
                <w:rFonts w:ascii="Arial" w:hAnsi="Arial" w:cs="Arial"/>
              </w:rPr>
              <w:t xml:space="preserve"> </w:t>
            </w:r>
            <w:r w:rsidRPr="00344C5C">
              <w:rPr>
                <w:rFonts w:ascii="Arial" w:hAnsi="Arial" w:cs="Arial"/>
              </w:rPr>
              <w:t>před jejich využitím spočívajícím v dotřídění odpadů“.</w:t>
            </w:r>
          </w:p>
          <w:p w14:paraId="1490C8B0" w14:textId="676217F5" w:rsidR="00942C6D" w:rsidRPr="00942C6D" w:rsidRDefault="00344C5C" w:rsidP="00344C5C">
            <w:pPr>
              <w:tabs>
                <w:tab w:val="left" w:pos="284"/>
              </w:tabs>
              <w:jc w:val="both"/>
              <w:rPr>
                <w:rFonts w:ascii="Arial" w:hAnsi="Arial" w:cs="Arial"/>
                <w:b/>
              </w:rPr>
            </w:pPr>
            <w:r w:rsidRPr="00344C5C">
              <w:rPr>
                <w:rFonts w:ascii="Arial" w:hAnsi="Arial" w:cs="Arial"/>
              </w:rPr>
              <w:t>Následující body se přečíslují</w:t>
            </w:r>
            <w:r>
              <w:rPr>
                <w:rFonts w:ascii="Arial" w:hAnsi="Arial" w:cs="Arial"/>
              </w:rPr>
              <w:t>.</w:t>
            </w:r>
          </w:p>
        </w:tc>
        <w:tc>
          <w:tcPr>
            <w:tcW w:w="4926" w:type="dxa"/>
          </w:tcPr>
          <w:p w14:paraId="4241F23F" w14:textId="77777777" w:rsidR="000C4417" w:rsidRPr="005F65EB" w:rsidRDefault="000C4417" w:rsidP="000C4417">
            <w:pPr>
              <w:jc w:val="both"/>
              <w:rPr>
                <w:rFonts w:ascii="Arial" w:hAnsi="Arial" w:cs="Arial"/>
                <w:b/>
              </w:rPr>
            </w:pPr>
            <w:r>
              <w:rPr>
                <w:rFonts w:ascii="Arial" w:hAnsi="Arial" w:cs="Arial"/>
                <w:b/>
              </w:rPr>
              <w:t>Neutrální stanovisko</w:t>
            </w:r>
          </w:p>
          <w:p w14:paraId="0026EDB6" w14:textId="1B9AAB71" w:rsidR="006C2D70" w:rsidRPr="006C2D70" w:rsidRDefault="006C2D70" w:rsidP="000E7EDC">
            <w:pPr>
              <w:spacing w:before="120" w:line="276" w:lineRule="auto"/>
              <w:jc w:val="both"/>
              <w:rPr>
                <w:rFonts w:ascii="Arial" w:hAnsi="Arial" w:cs="Arial"/>
                <w:color w:val="000000" w:themeColor="text1"/>
              </w:rPr>
            </w:pPr>
            <w:r w:rsidRPr="006C2D70">
              <w:rPr>
                <w:rFonts w:ascii="Arial" w:hAnsi="Arial" w:cs="Arial"/>
                <w:color w:val="000000" w:themeColor="text1"/>
              </w:rPr>
              <w:t xml:space="preserve">V § 21 odst. 1 písm. j) </w:t>
            </w:r>
            <w:r w:rsidR="00A50CF1">
              <w:rPr>
                <w:rFonts w:ascii="Arial" w:hAnsi="Arial" w:cs="Arial"/>
                <w:color w:val="000000" w:themeColor="text1"/>
              </w:rPr>
              <w:t>[</w:t>
            </w:r>
            <w:r w:rsidRPr="006C2D70">
              <w:rPr>
                <w:rFonts w:ascii="Arial" w:hAnsi="Arial" w:cs="Arial"/>
                <w:color w:val="000000" w:themeColor="text1"/>
              </w:rPr>
              <w:t>původně písmeno i)</w:t>
            </w:r>
            <w:r w:rsidR="00A50CF1">
              <w:rPr>
                <w:rFonts w:ascii="Arial" w:hAnsi="Arial" w:cs="Arial"/>
                <w:color w:val="000000" w:themeColor="text1"/>
              </w:rPr>
              <w:t>]</w:t>
            </w:r>
            <w:r w:rsidRPr="006C2D70">
              <w:rPr>
                <w:rFonts w:ascii="Arial" w:hAnsi="Arial" w:cs="Arial"/>
                <w:color w:val="000000" w:themeColor="text1"/>
              </w:rPr>
              <w:t xml:space="preserve"> se navrhuje zakotvit, že podíl obalové složky musí být zjišťován i v odpadu, s nímž se nakládá v zařízeních na dotřídění odpadů. I v těchto zařízeních se při úpravě odpadů spočívající v jejich dotřídění nakládá jak s obalovou, tak i s neobalovou složkou.</w:t>
            </w:r>
          </w:p>
          <w:p w14:paraId="17A391D3" w14:textId="57279B34" w:rsidR="006C2D70" w:rsidRDefault="006C2D70" w:rsidP="000E7EDC">
            <w:pPr>
              <w:spacing w:before="120" w:line="276" w:lineRule="auto"/>
              <w:jc w:val="both"/>
              <w:rPr>
                <w:rFonts w:ascii="Arial" w:hAnsi="Arial" w:cs="Arial"/>
                <w:color w:val="FF0000"/>
              </w:rPr>
            </w:pPr>
            <w:r>
              <w:rPr>
                <w:rFonts w:ascii="Arial" w:hAnsi="Arial" w:cs="Arial"/>
              </w:rPr>
              <w:t xml:space="preserve">Vzhledem k </w:t>
            </w:r>
            <w:r>
              <w:rPr>
                <w:rFonts w:ascii="Arial" w:hAnsi="Arial" w:cs="Arial"/>
              </w:rPr>
              <w:t>charakter</w:t>
            </w:r>
            <w:r>
              <w:rPr>
                <w:rFonts w:ascii="Arial" w:hAnsi="Arial" w:cs="Arial"/>
              </w:rPr>
              <w:t>u</w:t>
            </w:r>
            <w:r>
              <w:rPr>
                <w:rFonts w:ascii="Arial" w:hAnsi="Arial" w:cs="Arial"/>
              </w:rPr>
              <w:t xml:space="preserve"> doplnění, které nesouvisí s transponovanou úpravou (a zároveň se nejedná o problematickou věc v platné právní úpravě) vyjadřuje MŽP k pozměňovacímu návrhu ne</w:t>
            </w:r>
            <w:r>
              <w:rPr>
                <w:rFonts w:ascii="Arial" w:hAnsi="Arial" w:cs="Arial"/>
              </w:rPr>
              <w:t>utrální</w:t>
            </w:r>
            <w:r>
              <w:rPr>
                <w:rFonts w:ascii="Arial" w:hAnsi="Arial" w:cs="Arial"/>
              </w:rPr>
              <w:t xml:space="preserve"> stanovisko.</w:t>
            </w:r>
          </w:p>
          <w:p w14:paraId="116FC921" w14:textId="707A1C7B" w:rsidR="00AC5FF3" w:rsidRPr="000E7EDC" w:rsidRDefault="004457A6" w:rsidP="000E7EDC">
            <w:pPr>
              <w:spacing w:before="120" w:line="276" w:lineRule="auto"/>
              <w:jc w:val="both"/>
              <w:rPr>
                <w:rFonts w:ascii="Arial" w:hAnsi="Arial" w:cs="Arial"/>
              </w:rPr>
            </w:pPr>
            <w:r>
              <w:rPr>
                <w:rFonts w:ascii="Arial" w:hAnsi="Arial" w:cs="Arial"/>
                <w:color w:val="FF0000"/>
              </w:rPr>
              <w:t>Návrh byl předložen ve výboru pro životní prostředí, nebyl schválen a následně byl opětovně předložen ve 2. čtení.</w:t>
            </w:r>
          </w:p>
        </w:tc>
      </w:tr>
      <w:tr w:rsidR="00942C6D" w:rsidRPr="0093259C" w14:paraId="5DEE6650" w14:textId="77777777" w:rsidTr="004F6003">
        <w:trPr>
          <w:trHeight w:val="475"/>
        </w:trPr>
        <w:tc>
          <w:tcPr>
            <w:tcW w:w="704" w:type="dxa"/>
          </w:tcPr>
          <w:p w14:paraId="7028FF1B" w14:textId="3E218EFE" w:rsidR="00942C6D" w:rsidRPr="00942C6D" w:rsidRDefault="00942C6D" w:rsidP="00942C6D">
            <w:pPr>
              <w:pStyle w:val="Nadpis"/>
              <w:spacing w:before="120" w:after="0"/>
              <w:rPr>
                <w:rFonts w:cs="Arial"/>
                <w:b/>
                <w:bCs/>
                <w:sz w:val="22"/>
                <w:szCs w:val="22"/>
              </w:rPr>
            </w:pPr>
            <w:r w:rsidRPr="00942C6D">
              <w:rPr>
                <w:rFonts w:cs="Arial"/>
                <w:b/>
                <w:sz w:val="22"/>
                <w:szCs w:val="22"/>
              </w:rPr>
              <w:t>B.2</w:t>
            </w:r>
            <w:r w:rsidR="002950DC">
              <w:rPr>
                <w:rFonts w:cs="Arial"/>
                <w:b/>
                <w:sz w:val="22"/>
                <w:szCs w:val="22"/>
              </w:rPr>
              <w:t>.</w:t>
            </w:r>
          </w:p>
        </w:tc>
        <w:tc>
          <w:tcPr>
            <w:tcW w:w="1843" w:type="dxa"/>
          </w:tcPr>
          <w:p w14:paraId="59956B69" w14:textId="0879F05A" w:rsidR="002950DC" w:rsidRPr="00942C6D" w:rsidRDefault="002950DC" w:rsidP="002950DC">
            <w:pPr>
              <w:pStyle w:val="Nadpis"/>
              <w:spacing w:before="120" w:after="0"/>
              <w:rPr>
                <w:rFonts w:cs="Arial"/>
                <w:b/>
                <w:bCs/>
                <w:sz w:val="22"/>
                <w:szCs w:val="22"/>
              </w:rPr>
            </w:pPr>
            <w:r w:rsidRPr="00942C6D">
              <w:rPr>
                <w:rFonts w:cs="Arial"/>
                <w:b/>
                <w:bCs/>
                <w:sz w:val="22"/>
                <w:szCs w:val="22"/>
              </w:rPr>
              <w:t xml:space="preserve">Poslanec </w:t>
            </w:r>
            <w:r w:rsidR="000201A5">
              <w:rPr>
                <w:rFonts w:cs="Arial"/>
                <w:b/>
                <w:bCs/>
                <w:sz w:val="22"/>
                <w:szCs w:val="22"/>
              </w:rPr>
              <w:t>Peštová</w:t>
            </w:r>
            <w:r w:rsidRPr="00942C6D">
              <w:rPr>
                <w:rFonts w:cs="Arial"/>
                <w:b/>
                <w:bCs/>
                <w:sz w:val="22"/>
                <w:szCs w:val="22"/>
              </w:rPr>
              <w:t xml:space="preserve"> </w:t>
            </w:r>
          </w:p>
          <w:p w14:paraId="3F0824E7" w14:textId="55BDD44D" w:rsidR="00942C6D" w:rsidRPr="00541C95" w:rsidRDefault="002950DC" w:rsidP="00541C95">
            <w:pPr>
              <w:pStyle w:val="Nadpis"/>
              <w:spacing w:after="0"/>
              <w:rPr>
                <w:rFonts w:cs="Arial"/>
                <w:b/>
                <w:bCs/>
                <w:sz w:val="22"/>
                <w:szCs w:val="22"/>
              </w:rPr>
            </w:pPr>
            <w:r w:rsidRPr="00942C6D">
              <w:rPr>
                <w:rFonts w:cs="Arial"/>
                <w:b/>
                <w:bCs/>
                <w:sz w:val="22"/>
                <w:szCs w:val="22"/>
              </w:rPr>
              <w:t xml:space="preserve">SD </w:t>
            </w:r>
            <w:r w:rsidR="000201A5">
              <w:rPr>
                <w:rFonts w:cs="Arial"/>
                <w:b/>
                <w:bCs/>
                <w:sz w:val="22"/>
                <w:szCs w:val="22"/>
              </w:rPr>
              <w:t>825</w:t>
            </w:r>
          </w:p>
        </w:tc>
        <w:tc>
          <w:tcPr>
            <w:tcW w:w="7973" w:type="dxa"/>
          </w:tcPr>
          <w:p w14:paraId="673FC822" w14:textId="77777777" w:rsidR="00942C6D" w:rsidRDefault="00344C5C" w:rsidP="001E44EA">
            <w:pPr>
              <w:spacing w:before="120" w:after="0" w:line="240" w:lineRule="auto"/>
              <w:jc w:val="both"/>
              <w:rPr>
                <w:rFonts w:ascii="Arial" w:hAnsi="Arial" w:cs="Arial"/>
                <w:bCs/>
              </w:rPr>
            </w:pPr>
            <w:r w:rsidRPr="00344C5C">
              <w:rPr>
                <w:rFonts w:ascii="Arial" w:hAnsi="Arial" w:cs="Arial"/>
                <w:bCs/>
              </w:rPr>
              <w:t>V čl. III se za bod 53 vkládá nový bod, který zní:</w:t>
            </w:r>
          </w:p>
          <w:p w14:paraId="609D6719" w14:textId="54AFE5C6" w:rsidR="00663B13" w:rsidRPr="00663B13" w:rsidRDefault="00663B13" w:rsidP="00663B13">
            <w:pPr>
              <w:spacing w:before="120" w:after="0" w:line="240" w:lineRule="auto"/>
              <w:jc w:val="both"/>
              <w:rPr>
                <w:rFonts w:ascii="Arial" w:hAnsi="Arial" w:cs="Arial"/>
                <w:bCs/>
              </w:rPr>
            </w:pPr>
            <w:r w:rsidRPr="00663B13">
              <w:rPr>
                <w:rFonts w:ascii="Arial" w:hAnsi="Arial" w:cs="Arial"/>
                <w:bCs/>
              </w:rPr>
              <w:t>„x. V § 21c odst. 4 se za slova „Podíl odpadů z obalů v tříděném komunálním odpadu“</w:t>
            </w:r>
            <w:r>
              <w:rPr>
                <w:rFonts w:ascii="Arial" w:hAnsi="Arial" w:cs="Arial"/>
                <w:bCs/>
              </w:rPr>
              <w:t xml:space="preserve"> </w:t>
            </w:r>
            <w:r w:rsidRPr="00663B13">
              <w:rPr>
                <w:rFonts w:ascii="Arial" w:hAnsi="Arial" w:cs="Arial"/>
                <w:bCs/>
              </w:rPr>
              <w:t>vkládají slova „a v odpadu, s nímž se nakládá v zařízeních na úpravu odpadů před jejich</w:t>
            </w:r>
            <w:r>
              <w:rPr>
                <w:rFonts w:ascii="Arial" w:hAnsi="Arial" w:cs="Arial"/>
                <w:bCs/>
              </w:rPr>
              <w:t xml:space="preserve"> </w:t>
            </w:r>
            <w:r w:rsidRPr="00663B13">
              <w:rPr>
                <w:rFonts w:ascii="Arial" w:hAnsi="Arial" w:cs="Arial"/>
                <w:bCs/>
              </w:rPr>
              <w:t>využitím spočívajícím v dotřídění odpadů,“.</w:t>
            </w:r>
          </w:p>
          <w:p w14:paraId="367C7DF9" w14:textId="1189244B" w:rsidR="00663B13" w:rsidRPr="00942C6D" w:rsidRDefault="00663B13" w:rsidP="00663B13">
            <w:pPr>
              <w:spacing w:before="120" w:after="0" w:line="240" w:lineRule="auto"/>
              <w:jc w:val="both"/>
              <w:rPr>
                <w:rFonts w:ascii="Arial" w:hAnsi="Arial" w:cs="Arial"/>
                <w:bCs/>
              </w:rPr>
            </w:pPr>
            <w:r w:rsidRPr="00663B13">
              <w:rPr>
                <w:rFonts w:ascii="Arial" w:hAnsi="Arial" w:cs="Arial"/>
                <w:bCs/>
              </w:rPr>
              <w:t>Následující body se přečíslují.“</w:t>
            </w:r>
          </w:p>
        </w:tc>
        <w:tc>
          <w:tcPr>
            <w:tcW w:w="4926" w:type="dxa"/>
          </w:tcPr>
          <w:p w14:paraId="7FEDEFD0" w14:textId="2B4910DA" w:rsidR="00344C5C" w:rsidRPr="005F65EB" w:rsidRDefault="00663B13" w:rsidP="00344C5C">
            <w:pPr>
              <w:jc w:val="both"/>
              <w:rPr>
                <w:rFonts w:ascii="Arial" w:hAnsi="Arial" w:cs="Arial"/>
                <w:b/>
              </w:rPr>
            </w:pPr>
            <w:r>
              <w:rPr>
                <w:rFonts w:ascii="Arial" w:hAnsi="Arial" w:cs="Arial"/>
                <w:b/>
              </w:rPr>
              <w:t>Neutrální stanovisko</w:t>
            </w:r>
          </w:p>
          <w:p w14:paraId="3AE3E373" w14:textId="77777777" w:rsidR="006C2D70" w:rsidRPr="005F65EB" w:rsidRDefault="006C2D70" w:rsidP="006C2D70">
            <w:pPr>
              <w:jc w:val="both"/>
              <w:rPr>
                <w:rFonts w:ascii="Arial" w:hAnsi="Arial" w:cs="Arial"/>
                <w:b/>
              </w:rPr>
            </w:pPr>
            <w:r>
              <w:rPr>
                <w:rFonts w:ascii="Arial" w:hAnsi="Arial" w:cs="Arial"/>
              </w:rPr>
              <w:t xml:space="preserve">Tento návrh je striktně vázán na návrh A.1. </w:t>
            </w:r>
          </w:p>
          <w:p w14:paraId="539986FF" w14:textId="02F584F6" w:rsidR="006C2D70" w:rsidRPr="006C2D70" w:rsidRDefault="006C2D70" w:rsidP="006C2D70">
            <w:pPr>
              <w:jc w:val="both"/>
              <w:rPr>
                <w:rFonts w:ascii="Arial" w:hAnsi="Arial" w:cs="Arial"/>
              </w:rPr>
            </w:pPr>
            <w:r w:rsidRPr="006C2D70">
              <w:rPr>
                <w:rFonts w:ascii="Arial" w:hAnsi="Arial" w:cs="Arial"/>
              </w:rPr>
              <w:t xml:space="preserve">Navržená změna navazuje na navrhovanou změnu v § 21 odst. 1 písm. j) </w:t>
            </w:r>
            <w:r w:rsidR="00A50CF1">
              <w:rPr>
                <w:rFonts w:ascii="Arial" w:hAnsi="Arial" w:cs="Arial"/>
              </w:rPr>
              <w:t>[</w:t>
            </w:r>
            <w:r w:rsidRPr="006C2D70">
              <w:rPr>
                <w:rFonts w:ascii="Arial" w:hAnsi="Arial" w:cs="Arial"/>
              </w:rPr>
              <w:t>původně písmeno i)</w:t>
            </w:r>
            <w:r w:rsidR="00A50CF1">
              <w:rPr>
                <w:rFonts w:ascii="Arial" w:hAnsi="Arial" w:cs="Arial"/>
              </w:rPr>
              <w:t>]</w:t>
            </w:r>
            <w:r w:rsidRPr="006C2D70">
              <w:rPr>
                <w:rFonts w:ascii="Arial" w:hAnsi="Arial" w:cs="Arial"/>
              </w:rPr>
              <w:t xml:space="preserve"> a týká se výpočtu podílu obalové složky v odpadu, s nímž se nakládá v zařízeních na dotřídění odpadů</w:t>
            </w:r>
            <w:r w:rsidR="00A50CF1">
              <w:rPr>
                <w:rFonts w:ascii="Arial" w:hAnsi="Arial" w:cs="Arial"/>
              </w:rPr>
              <w:t>.</w:t>
            </w:r>
          </w:p>
          <w:p w14:paraId="60F97AF1" w14:textId="23C8F4FE" w:rsidR="00663B13" w:rsidRPr="00C26DB5" w:rsidRDefault="00663B13" w:rsidP="00344C5C">
            <w:pPr>
              <w:spacing w:before="120" w:after="0" w:line="240" w:lineRule="auto"/>
              <w:jc w:val="both"/>
              <w:rPr>
                <w:rFonts w:ascii="Arial" w:hAnsi="Arial" w:cs="Arial"/>
              </w:rPr>
            </w:pPr>
            <w:r>
              <w:rPr>
                <w:rFonts w:ascii="Arial" w:hAnsi="Arial" w:cs="Arial"/>
                <w:color w:val="FF0000"/>
              </w:rPr>
              <w:t>Návrh byl předložen ve výboru pro životní prostředí, nebyl schválen a následně byl opětovně předložen ve 2. čtení.</w:t>
            </w:r>
          </w:p>
        </w:tc>
      </w:tr>
      <w:tr w:rsidR="00942C6D" w:rsidRPr="0093259C" w14:paraId="6FA6B517" w14:textId="77777777" w:rsidTr="004F6003">
        <w:trPr>
          <w:trHeight w:val="475"/>
        </w:trPr>
        <w:tc>
          <w:tcPr>
            <w:tcW w:w="704" w:type="dxa"/>
          </w:tcPr>
          <w:p w14:paraId="0A82F9FB" w14:textId="100041F6" w:rsidR="00942C6D" w:rsidRPr="00942C6D" w:rsidRDefault="001E44EA" w:rsidP="00942C6D">
            <w:pPr>
              <w:pStyle w:val="Nadpis"/>
              <w:spacing w:before="120" w:after="0"/>
              <w:rPr>
                <w:rFonts w:cs="Arial"/>
                <w:b/>
                <w:bCs/>
                <w:sz w:val="22"/>
                <w:szCs w:val="22"/>
              </w:rPr>
            </w:pPr>
            <w:r w:rsidRPr="00942C6D">
              <w:rPr>
                <w:rFonts w:cs="Arial"/>
                <w:b/>
                <w:sz w:val="22"/>
                <w:szCs w:val="22"/>
              </w:rPr>
              <w:lastRenderedPageBreak/>
              <w:t>B.</w:t>
            </w:r>
            <w:r>
              <w:rPr>
                <w:rFonts w:cs="Arial"/>
                <w:b/>
                <w:sz w:val="22"/>
                <w:szCs w:val="22"/>
              </w:rPr>
              <w:t>3.</w:t>
            </w:r>
          </w:p>
        </w:tc>
        <w:tc>
          <w:tcPr>
            <w:tcW w:w="1843" w:type="dxa"/>
          </w:tcPr>
          <w:p w14:paraId="2D68EB02" w14:textId="00D9EFFF" w:rsidR="0098043D" w:rsidRPr="00942C6D" w:rsidRDefault="0098043D" w:rsidP="0098043D">
            <w:pPr>
              <w:pStyle w:val="Nadpis"/>
              <w:spacing w:before="120" w:after="0"/>
              <w:rPr>
                <w:rFonts w:cs="Arial"/>
                <w:b/>
                <w:bCs/>
                <w:sz w:val="22"/>
                <w:szCs w:val="22"/>
              </w:rPr>
            </w:pPr>
            <w:r w:rsidRPr="00942C6D">
              <w:rPr>
                <w:rFonts w:cs="Arial"/>
                <w:b/>
                <w:bCs/>
                <w:sz w:val="22"/>
                <w:szCs w:val="22"/>
              </w:rPr>
              <w:t xml:space="preserve">Poslanec </w:t>
            </w:r>
            <w:r w:rsidR="000201A5">
              <w:rPr>
                <w:rFonts w:cs="Arial"/>
                <w:b/>
                <w:bCs/>
                <w:sz w:val="22"/>
                <w:szCs w:val="22"/>
              </w:rPr>
              <w:t>Peštová</w:t>
            </w:r>
            <w:r w:rsidRPr="00942C6D">
              <w:rPr>
                <w:rFonts w:cs="Arial"/>
                <w:b/>
                <w:bCs/>
                <w:sz w:val="22"/>
                <w:szCs w:val="22"/>
              </w:rPr>
              <w:t xml:space="preserve"> </w:t>
            </w:r>
          </w:p>
          <w:p w14:paraId="6C6A31EB" w14:textId="5250D39F" w:rsidR="00942C6D" w:rsidRPr="00942C6D" w:rsidRDefault="0098043D" w:rsidP="0098043D">
            <w:pPr>
              <w:pStyle w:val="Nadpis"/>
              <w:spacing w:after="0"/>
              <w:rPr>
                <w:rFonts w:cs="Arial"/>
                <w:b/>
                <w:bCs/>
                <w:sz w:val="22"/>
                <w:szCs w:val="22"/>
              </w:rPr>
            </w:pPr>
            <w:r w:rsidRPr="00942C6D">
              <w:rPr>
                <w:rFonts w:cs="Arial"/>
                <w:b/>
                <w:bCs/>
                <w:sz w:val="22"/>
                <w:szCs w:val="22"/>
              </w:rPr>
              <w:t xml:space="preserve">SD </w:t>
            </w:r>
            <w:r w:rsidR="000201A5">
              <w:rPr>
                <w:rFonts w:cs="Arial"/>
                <w:b/>
                <w:bCs/>
                <w:sz w:val="22"/>
                <w:szCs w:val="22"/>
              </w:rPr>
              <w:t>825</w:t>
            </w:r>
          </w:p>
        </w:tc>
        <w:tc>
          <w:tcPr>
            <w:tcW w:w="7973" w:type="dxa"/>
          </w:tcPr>
          <w:p w14:paraId="4109F849" w14:textId="4E95E2BE" w:rsidR="00942C6D" w:rsidRPr="00942C6D" w:rsidRDefault="00663B13" w:rsidP="00663B13">
            <w:pPr>
              <w:spacing w:before="120" w:after="0" w:line="240" w:lineRule="auto"/>
              <w:jc w:val="both"/>
              <w:rPr>
                <w:rFonts w:ascii="Arial" w:hAnsi="Arial" w:cs="Arial"/>
                <w:bCs/>
              </w:rPr>
            </w:pPr>
            <w:r w:rsidRPr="00663B13">
              <w:rPr>
                <w:rFonts w:ascii="Arial" w:hAnsi="Arial" w:cs="Arial"/>
                <w:bCs/>
              </w:rPr>
              <w:t>V čl. III bodu 66 v § 44 odst. 3 písm. n) se za slova „zjišťovat podíl odpadů z</w:t>
            </w:r>
            <w:r>
              <w:rPr>
                <w:rFonts w:ascii="Arial" w:hAnsi="Arial" w:cs="Arial"/>
                <w:bCs/>
              </w:rPr>
              <w:t> </w:t>
            </w:r>
            <w:r w:rsidRPr="00663B13">
              <w:rPr>
                <w:rFonts w:ascii="Arial" w:hAnsi="Arial" w:cs="Arial"/>
                <w:bCs/>
              </w:rPr>
              <w:t>obalů</w:t>
            </w:r>
            <w:r>
              <w:rPr>
                <w:rFonts w:ascii="Arial" w:hAnsi="Arial" w:cs="Arial"/>
                <w:bCs/>
              </w:rPr>
              <w:t xml:space="preserve"> </w:t>
            </w:r>
            <w:r w:rsidRPr="00663B13">
              <w:rPr>
                <w:rFonts w:ascii="Arial" w:hAnsi="Arial" w:cs="Arial"/>
                <w:bCs/>
              </w:rPr>
              <w:t>v tříděném komunálním odpadu“ vkládají slova „a v odpadu, s nímž se nakládá v zařízeních na</w:t>
            </w:r>
            <w:r>
              <w:rPr>
                <w:rFonts w:ascii="Arial" w:hAnsi="Arial" w:cs="Arial"/>
                <w:bCs/>
              </w:rPr>
              <w:t xml:space="preserve"> </w:t>
            </w:r>
            <w:r w:rsidRPr="00663B13">
              <w:rPr>
                <w:rFonts w:ascii="Arial" w:hAnsi="Arial" w:cs="Arial"/>
                <w:bCs/>
              </w:rPr>
              <w:t>úpravu odpadů před jejich využitím spočívajícím v dotřídění odpadů“.</w:t>
            </w:r>
          </w:p>
        </w:tc>
        <w:tc>
          <w:tcPr>
            <w:tcW w:w="4926" w:type="dxa"/>
          </w:tcPr>
          <w:p w14:paraId="73AEE144" w14:textId="07759522" w:rsidR="00344C5C" w:rsidRDefault="00663B13" w:rsidP="00344C5C">
            <w:pPr>
              <w:jc w:val="both"/>
              <w:rPr>
                <w:rFonts w:ascii="Arial" w:hAnsi="Arial" w:cs="Arial"/>
                <w:b/>
              </w:rPr>
            </w:pPr>
            <w:r>
              <w:rPr>
                <w:rFonts w:ascii="Arial" w:hAnsi="Arial" w:cs="Arial"/>
                <w:b/>
              </w:rPr>
              <w:t>Neutrální stanovisko</w:t>
            </w:r>
          </w:p>
          <w:p w14:paraId="3686E25C" w14:textId="4208B169" w:rsidR="000723D1" w:rsidRPr="00A76EF3" w:rsidRDefault="006C2D70" w:rsidP="00A76EF3">
            <w:pPr>
              <w:spacing w:before="120" w:after="0" w:line="240" w:lineRule="auto"/>
              <w:jc w:val="both"/>
              <w:rPr>
                <w:rFonts w:ascii="Arial" w:hAnsi="Arial" w:cs="Arial"/>
                <w:b/>
              </w:rPr>
            </w:pPr>
            <w:r>
              <w:rPr>
                <w:rFonts w:ascii="Arial" w:hAnsi="Arial" w:cs="Arial"/>
              </w:rPr>
              <w:t xml:space="preserve">Tento návrh je striktně vázán na návrh A.1. </w:t>
            </w:r>
            <w:r>
              <w:rPr>
                <w:rFonts w:ascii="Arial" w:hAnsi="Arial" w:cs="Arial"/>
              </w:rPr>
              <w:t>Upravuje se příslušná skutková podstata přestupku</w:t>
            </w:r>
            <w:r w:rsidR="00A76EF3">
              <w:rPr>
                <w:rFonts w:ascii="Arial" w:hAnsi="Arial" w:cs="Arial"/>
              </w:rPr>
              <w:t xml:space="preserve"> (</w:t>
            </w:r>
            <w:r w:rsidR="004D4FD5">
              <w:rPr>
                <w:rFonts w:ascii="Arial" w:hAnsi="Arial" w:cs="Arial"/>
              </w:rPr>
              <w:t>doplněno oproti pozměňovacímu návrhu předloženému ve výboru pro životní prostředí)</w:t>
            </w:r>
            <w:r>
              <w:rPr>
                <w:rFonts w:ascii="Arial" w:hAnsi="Arial" w:cs="Arial"/>
              </w:rPr>
              <w:t>.</w:t>
            </w:r>
          </w:p>
        </w:tc>
      </w:tr>
      <w:tr w:rsidR="00942C6D" w:rsidRPr="0093259C" w14:paraId="70D439E3" w14:textId="77777777" w:rsidTr="004F6003">
        <w:trPr>
          <w:trHeight w:val="475"/>
        </w:trPr>
        <w:tc>
          <w:tcPr>
            <w:tcW w:w="704" w:type="dxa"/>
          </w:tcPr>
          <w:p w14:paraId="310592E4" w14:textId="40719E56" w:rsidR="00942C6D" w:rsidRPr="00E23003" w:rsidRDefault="001E44EA" w:rsidP="00942C6D">
            <w:pPr>
              <w:pStyle w:val="Nadpis"/>
              <w:spacing w:before="120" w:after="0"/>
              <w:rPr>
                <w:rFonts w:cs="Arial"/>
                <w:b/>
                <w:bCs/>
                <w:sz w:val="22"/>
                <w:szCs w:val="22"/>
              </w:rPr>
            </w:pPr>
            <w:r w:rsidRPr="00E23003">
              <w:rPr>
                <w:rFonts w:cs="Arial"/>
                <w:b/>
                <w:sz w:val="22"/>
                <w:szCs w:val="22"/>
              </w:rPr>
              <w:t>B.4.</w:t>
            </w:r>
          </w:p>
        </w:tc>
        <w:tc>
          <w:tcPr>
            <w:tcW w:w="1843" w:type="dxa"/>
          </w:tcPr>
          <w:p w14:paraId="51DA9AF6" w14:textId="57A273B3" w:rsidR="0098043D" w:rsidRPr="00E23003" w:rsidRDefault="0098043D" w:rsidP="0098043D">
            <w:pPr>
              <w:pStyle w:val="Nadpis"/>
              <w:spacing w:before="120" w:after="0"/>
              <w:rPr>
                <w:rFonts w:cs="Arial"/>
                <w:b/>
                <w:bCs/>
                <w:sz w:val="22"/>
                <w:szCs w:val="22"/>
              </w:rPr>
            </w:pPr>
            <w:r w:rsidRPr="00E23003">
              <w:rPr>
                <w:rFonts w:cs="Arial"/>
                <w:b/>
                <w:bCs/>
                <w:sz w:val="22"/>
                <w:szCs w:val="22"/>
              </w:rPr>
              <w:t xml:space="preserve">Poslanec </w:t>
            </w:r>
            <w:r w:rsidR="000C1016" w:rsidRPr="00E23003">
              <w:rPr>
                <w:rFonts w:cs="Arial"/>
                <w:b/>
                <w:bCs/>
                <w:sz w:val="22"/>
                <w:szCs w:val="22"/>
              </w:rPr>
              <w:t>Král</w:t>
            </w:r>
            <w:r w:rsidRPr="00E23003">
              <w:rPr>
                <w:rFonts w:cs="Arial"/>
                <w:b/>
                <w:bCs/>
                <w:sz w:val="22"/>
                <w:szCs w:val="22"/>
              </w:rPr>
              <w:t xml:space="preserve"> </w:t>
            </w:r>
          </w:p>
          <w:p w14:paraId="391A3BE7" w14:textId="20334BF2" w:rsidR="00942C6D" w:rsidRPr="00E23003" w:rsidRDefault="0098043D" w:rsidP="0098043D">
            <w:pPr>
              <w:pStyle w:val="Nadpis"/>
              <w:spacing w:after="0"/>
              <w:rPr>
                <w:rFonts w:cs="Arial"/>
                <w:b/>
                <w:bCs/>
                <w:sz w:val="22"/>
                <w:szCs w:val="22"/>
              </w:rPr>
            </w:pPr>
            <w:r w:rsidRPr="00E23003">
              <w:rPr>
                <w:rFonts w:cs="Arial"/>
                <w:b/>
                <w:bCs/>
                <w:sz w:val="22"/>
                <w:szCs w:val="22"/>
              </w:rPr>
              <w:t>SD 8</w:t>
            </w:r>
            <w:r w:rsidR="000201A5" w:rsidRPr="00E23003">
              <w:rPr>
                <w:rFonts w:cs="Arial"/>
                <w:b/>
                <w:bCs/>
                <w:sz w:val="22"/>
                <w:szCs w:val="22"/>
              </w:rPr>
              <w:t>59</w:t>
            </w:r>
          </w:p>
        </w:tc>
        <w:tc>
          <w:tcPr>
            <w:tcW w:w="7973" w:type="dxa"/>
          </w:tcPr>
          <w:p w14:paraId="73E522B6" w14:textId="77777777" w:rsidR="000201A5" w:rsidRPr="00E23003" w:rsidRDefault="000201A5" w:rsidP="000201A5">
            <w:pPr>
              <w:spacing w:before="120" w:after="0" w:line="240" w:lineRule="auto"/>
              <w:jc w:val="both"/>
              <w:rPr>
                <w:rFonts w:ascii="Arial" w:hAnsi="Arial" w:cs="Arial"/>
                <w:bCs/>
              </w:rPr>
            </w:pPr>
            <w:r w:rsidRPr="00E23003">
              <w:rPr>
                <w:rFonts w:ascii="Arial" w:hAnsi="Arial" w:cs="Arial"/>
                <w:bCs/>
              </w:rPr>
              <w:t>V čl. III se za bod 71 vkládá nový bod, který zní:</w:t>
            </w:r>
          </w:p>
          <w:p w14:paraId="3E78D9F2" w14:textId="16A3FE7C" w:rsidR="00942C6D" w:rsidRPr="00E23003" w:rsidRDefault="000201A5" w:rsidP="000201A5">
            <w:pPr>
              <w:spacing w:before="120" w:after="0" w:line="240" w:lineRule="auto"/>
              <w:jc w:val="both"/>
              <w:rPr>
                <w:rFonts w:ascii="Arial" w:hAnsi="Arial" w:cs="Arial"/>
                <w:bCs/>
              </w:rPr>
            </w:pPr>
            <w:r w:rsidRPr="00E23003">
              <w:rPr>
                <w:rFonts w:ascii="Arial" w:hAnsi="Arial" w:cs="Arial"/>
                <w:bCs/>
              </w:rPr>
              <w:t>„x. V příloze č. 1 části Názorné příklady ilustrující použití kritéria 1 – Obal, se slova</w:t>
            </w:r>
            <w:r w:rsidRPr="00E23003">
              <w:rPr>
                <w:rFonts w:ascii="Arial" w:hAnsi="Arial" w:cs="Arial"/>
                <w:bCs/>
              </w:rPr>
              <w:t xml:space="preserve"> </w:t>
            </w:r>
            <w:r w:rsidRPr="00E23003">
              <w:rPr>
                <w:rFonts w:ascii="Arial" w:hAnsi="Arial" w:cs="Arial"/>
                <w:bCs/>
              </w:rPr>
              <w:t>„(například káva, kakao, mléko), které po použití zůstanou prázdné“ zrušují a v</w:t>
            </w:r>
            <w:r w:rsidRPr="00E23003">
              <w:rPr>
                <w:rFonts w:ascii="Arial" w:hAnsi="Arial" w:cs="Arial"/>
                <w:bCs/>
              </w:rPr>
              <w:t> </w:t>
            </w:r>
            <w:r w:rsidRPr="00E23003">
              <w:rPr>
                <w:rFonts w:ascii="Arial" w:hAnsi="Arial" w:cs="Arial"/>
                <w:bCs/>
              </w:rPr>
              <w:t>části</w:t>
            </w:r>
            <w:r w:rsidRPr="00E23003">
              <w:rPr>
                <w:rFonts w:ascii="Arial" w:hAnsi="Arial" w:cs="Arial"/>
                <w:bCs/>
              </w:rPr>
              <w:t xml:space="preserve"> </w:t>
            </w:r>
            <w:r w:rsidRPr="00E23003">
              <w:rPr>
                <w:rFonts w:ascii="Arial" w:hAnsi="Arial" w:cs="Arial"/>
                <w:bCs/>
              </w:rPr>
              <w:t>Názorné příklady ilustrující použití kritéria 1 – Předmět, který není obalem, se slova</w:t>
            </w:r>
            <w:r w:rsidRPr="00E23003">
              <w:rPr>
                <w:rFonts w:ascii="Arial" w:hAnsi="Arial" w:cs="Arial"/>
                <w:bCs/>
              </w:rPr>
              <w:t xml:space="preserve"> </w:t>
            </w:r>
            <w:r w:rsidRPr="00E23003">
              <w:rPr>
                <w:rFonts w:ascii="Arial" w:hAnsi="Arial" w:cs="Arial"/>
                <w:bCs/>
              </w:rPr>
              <w:t>„Kávové kapsle do nápojových systémů, kávové sáčky z hliníkové fólie a“ zrušují.“.</w:t>
            </w:r>
          </w:p>
        </w:tc>
        <w:tc>
          <w:tcPr>
            <w:tcW w:w="4926" w:type="dxa"/>
          </w:tcPr>
          <w:p w14:paraId="28330A11" w14:textId="6AC3768B" w:rsidR="00764A4F" w:rsidRPr="00E23003" w:rsidRDefault="00916018" w:rsidP="00764A4F">
            <w:pPr>
              <w:jc w:val="both"/>
              <w:rPr>
                <w:rFonts w:ascii="Arial" w:hAnsi="Arial" w:cs="Arial"/>
                <w:b/>
              </w:rPr>
            </w:pPr>
            <w:r w:rsidRPr="00E23003">
              <w:rPr>
                <w:rFonts w:ascii="Arial" w:hAnsi="Arial" w:cs="Arial"/>
                <w:b/>
              </w:rPr>
              <w:t>Nes</w:t>
            </w:r>
            <w:r w:rsidR="00764A4F" w:rsidRPr="00E23003">
              <w:rPr>
                <w:rFonts w:ascii="Arial" w:hAnsi="Arial" w:cs="Arial"/>
                <w:b/>
              </w:rPr>
              <w:t>ouhlas</w:t>
            </w:r>
          </w:p>
          <w:p w14:paraId="5F09B3F2" w14:textId="22B957E8" w:rsidR="004E2962" w:rsidRPr="00E23003" w:rsidRDefault="004E2962" w:rsidP="004E2962">
            <w:pPr>
              <w:spacing w:before="120" w:after="0" w:line="240" w:lineRule="auto"/>
              <w:jc w:val="both"/>
              <w:rPr>
                <w:rFonts w:ascii="Arial" w:hAnsi="Arial" w:cs="Arial"/>
              </w:rPr>
            </w:pPr>
            <w:r w:rsidRPr="00E23003">
              <w:rPr>
                <w:rFonts w:ascii="Arial" w:hAnsi="Arial" w:cs="Arial"/>
              </w:rPr>
              <w:t>Příloha č. 1 zákona č. 477/2001 Sb., o obalech a o změně některých zákonů (zákon o obalech), ve znění pozdějších předpisů, rozlišuje dva druhy kávových kapslí – 1. kapsle do nápojových systémů (například káva, kakao, mléko), které po použití zůstanou prázdné (ty jsou obaly), a 2. kávové kapsle do nápojových systémů odstraněné spolu s použitým kávovým produktem.</w:t>
            </w:r>
            <w:r w:rsidR="00E23003" w:rsidRPr="00E23003">
              <w:rPr>
                <w:rFonts w:ascii="Arial" w:hAnsi="Arial" w:cs="Arial"/>
              </w:rPr>
              <w:t xml:space="preserve">  </w:t>
            </w:r>
            <w:r w:rsidR="00E23003" w:rsidRPr="00E23003">
              <w:rPr>
                <w:rFonts w:ascii="Arial" w:hAnsi="Arial" w:cs="Arial"/>
              </w:rPr>
              <w:t xml:space="preserve">Pozměňovací návrh </w:t>
            </w:r>
            <w:r w:rsidR="00E23003" w:rsidRPr="00E23003">
              <w:rPr>
                <w:rFonts w:ascii="Arial" w:hAnsi="Arial" w:cs="Arial"/>
              </w:rPr>
              <w:t>stanovuje, že všechny kapsle do nápojových systémů jsou obaly.</w:t>
            </w:r>
          </w:p>
          <w:p w14:paraId="1EBA07C2" w14:textId="77777777" w:rsidR="004E2962" w:rsidRPr="00E23003" w:rsidRDefault="004E2962" w:rsidP="004E2962">
            <w:pPr>
              <w:spacing w:before="120" w:after="0" w:line="240" w:lineRule="auto"/>
              <w:jc w:val="both"/>
              <w:rPr>
                <w:rFonts w:ascii="Arial" w:hAnsi="Arial" w:cs="Arial"/>
              </w:rPr>
            </w:pPr>
            <w:r w:rsidRPr="00E23003">
              <w:rPr>
                <w:rFonts w:ascii="Arial" w:hAnsi="Arial" w:cs="Arial"/>
              </w:rPr>
              <w:t>Příloha č. 1 zákona o obalech je přesnou transpozicí přílohy I směrnice Evropského parlamentu a Rady 94/62/ES ze dne 20. prosince 1994 o obalech a obalových odpadech ve znění směrnice Komise 2013/2/EU ze dne 7. února 2013, kterou se mění příloha I směrnice Evropského parlamentu a Rady 94/62/ES o obalech a obalových odpadech. Seznam výrobků je pouze ilustrativní (jedná se o názorné příklady). Pro stanovení toho, co je obalem a co není, jsou rozhodující definice obalu v § 2 písm. a) a kritéria, která jsou stanovena v příloze č. 1 zákona o obalech. Kritéria jsou celkem tři a ke každému se váže seznam názorných příkladů ilustrujících použití daného kritéria.</w:t>
            </w:r>
          </w:p>
          <w:p w14:paraId="5D468D44" w14:textId="77777777" w:rsidR="004E2962" w:rsidRPr="00E23003" w:rsidRDefault="004E2962" w:rsidP="004E2962">
            <w:pPr>
              <w:spacing w:before="120" w:after="0" w:line="240" w:lineRule="auto"/>
              <w:jc w:val="both"/>
              <w:rPr>
                <w:rFonts w:ascii="Arial" w:hAnsi="Arial" w:cs="Arial"/>
                <w:i/>
              </w:rPr>
            </w:pPr>
            <w:r w:rsidRPr="00E23003">
              <w:rPr>
                <w:rFonts w:ascii="Arial" w:hAnsi="Arial" w:cs="Arial"/>
                <w:i/>
              </w:rPr>
              <w:lastRenderedPageBreak/>
              <w:t xml:space="preserve">Kávové kapsle na dvě kategorie dělí kritérium 1:  </w:t>
            </w:r>
          </w:p>
          <w:p w14:paraId="76A6622F" w14:textId="77777777" w:rsidR="004E2962" w:rsidRPr="00E23003" w:rsidRDefault="004E2962" w:rsidP="004E2962">
            <w:pPr>
              <w:spacing w:before="120" w:after="0" w:line="240" w:lineRule="auto"/>
              <w:jc w:val="both"/>
              <w:rPr>
                <w:rFonts w:ascii="Arial" w:hAnsi="Arial" w:cs="Arial"/>
                <w:i/>
              </w:rPr>
            </w:pPr>
            <w:r w:rsidRPr="00E23003">
              <w:rPr>
                <w:rFonts w:ascii="Arial" w:hAnsi="Arial" w:cs="Arial"/>
                <w:i/>
              </w:rPr>
              <w:t>Výrobek, který odpovídá definici obalu uvedené v § 2 písm. a) a zároveň plní nebo může plnit i jinou funkci než funkci obalu, se považuje za obal pouze tehdy, pokud</w:t>
            </w:r>
          </w:p>
          <w:p w14:paraId="6811A846" w14:textId="77777777" w:rsidR="004E2962" w:rsidRPr="00E23003" w:rsidRDefault="004E2962" w:rsidP="004E2962">
            <w:pPr>
              <w:spacing w:before="120" w:after="0" w:line="240" w:lineRule="auto"/>
              <w:jc w:val="both"/>
              <w:rPr>
                <w:rFonts w:ascii="Arial" w:hAnsi="Arial" w:cs="Arial"/>
                <w:i/>
              </w:rPr>
            </w:pPr>
            <w:r w:rsidRPr="00E23003">
              <w:rPr>
                <w:rFonts w:ascii="Arial" w:hAnsi="Arial" w:cs="Arial"/>
                <w:i/>
              </w:rPr>
              <w:t>a) není nedílnou součástí jiného výrobku,</w:t>
            </w:r>
          </w:p>
          <w:p w14:paraId="0871615F" w14:textId="77777777" w:rsidR="004E2962" w:rsidRPr="00E23003" w:rsidRDefault="004E2962" w:rsidP="004E2962">
            <w:pPr>
              <w:spacing w:before="120" w:after="0" w:line="240" w:lineRule="auto"/>
              <w:jc w:val="both"/>
              <w:rPr>
                <w:rFonts w:ascii="Arial" w:hAnsi="Arial" w:cs="Arial"/>
                <w:i/>
              </w:rPr>
            </w:pPr>
            <w:r w:rsidRPr="00E23003">
              <w:rPr>
                <w:rFonts w:ascii="Arial" w:hAnsi="Arial" w:cs="Arial"/>
                <w:i/>
              </w:rPr>
              <w:t>b) není nezbytný k tomu, aby uzavíral, nesl nebo uchovával tento výrobek po dobu jeho životnosti a</w:t>
            </w:r>
          </w:p>
          <w:p w14:paraId="00B1281F" w14:textId="77777777" w:rsidR="004E2962" w:rsidRPr="00E23003" w:rsidRDefault="004E2962" w:rsidP="004E2962">
            <w:pPr>
              <w:spacing w:before="120" w:after="0" w:line="240" w:lineRule="auto"/>
              <w:jc w:val="both"/>
              <w:rPr>
                <w:rFonts w:ascii="Arial" w:hAnsi="Arial" w:cs="Arial"/>
                <w:i/>
              </w:rPr>
            </w:pPr>
            <w:r w:rsidRPr="00E23003">
              <w:rPr>
                <w:rFonts w:ascii="Arial" w:hAnsi="Arial" w:cs="Arial"/>
                <w:i/>
              </w:rPr>
              <w:t>c) nejsou všechny části určeny k tomu, aby byly společně používány, spotřebovány nebo odstraněny.</w:t>
            </w:r>
          </w:p>
          <w:p w14:paraId="3109C5A1" w14:textId="2C02031A" w:rsidR="004E2962" w:rsidRDefault="004E2962" w:rsidP="004E2962">
            <w:pPr>
              <w:spacing w:before="120" w:after="0" w:line="240" w:lineRule="auto"/>
              <w:jc w:val="both"/>
              <w:rPr>
                <w:rFonts w:ascii="Arial" w:hAnsi="Arial" w:cs="Arial"/>
              </w:rPr>
            </w:pPr>
            <w:r w:rsidRPr="00E23003">
              <w:rPr>
                <w:rFonts w:ascii="Arial" w:hAnsi="Arial" w:cs="Arial"/>
              </w:rPr>
              <w:t>V případě kávových kapslí do nápojových systémů odstraněných spolu s použitým kávovým produktem tak příloha zákona i směrnice stanovuje, že se jedná o předmět, který není obalem, z toho důvodu, že všechny části jsou určeny k tomu, aby byly společně používány, spotřebovány nebo odstraněny, k čemuž odkazuje i samotný název výrobku v daném seznamu.</w:t>
            </w:r>
          </w:p>
          <w:p w14:paraId="643DC3DA" w14:textId="32902EA9" w:rsidR="00E04D4A" w:rsidRPr="00E23003" w:rsidRDefault="00E04D4A" w:rsidP="004E2962">
            <w:pPr>
              <w:spacing w:before="120" w:after="0" w:line="240" w:lineRule="auto"/>
              <w:jc w:val="both"/>
              <w:rPr>
                <w:rFonts w:ascii="Arial" w:hAnsi="Arial" w:cs="Arial"/>
              </w:rPr>
            </w:pPr>
            <w:r>
              <w:rPr>
                <w:rFonts w:ascii="Arial" w:hAnsi="Arial" w:cs="Arial"/>
              </w:rPr>
              <w:t>Dle MŽP je j</w:t>
            </w:r>
            <w:r>
              <w:rPr>
                <w:rFonts w:ascii="Arial" w:hAnsi="Arial" w:cs="Arial"/>
              </w:rPr>
              <w:t>ediným možným řešením, jak stanovit, že všechny k</w:t>
            </w:r>
            <w:r>
              <w:rPr>
                <w:rFonts w:ascii="Arial" w:hAnsi="Arial" w:cs="Arial"/>
              </w:rPr>
              <w:t>apsle do nápojových systémů</w:t>
            </w:r>
            <w:r>
              <w:rPr>
                <w:rFonts w:ascii="Arial" w:hAnsi="Arial" w:cs="Arial"/>
              </w:rPr>
              <w:t xml:space="preserve"> jsou obaly, změna směrnice 94/62/ES.</w:t>
            </w:r>
          </w:p>
          <w:p w14:paraId="3D4DE843" w14:textId="717194C7" w:rsidR="00490148" w:rsidRPr="00E23003" w:rsidRDefault="008421BD" w:rsidP="008421BD">
            <w:pPr>
              <w:spacing w:before="120" w:after="0" w:line="240" w:lineRule="auto"/>
              <w:jc w:val="both"/>
              <w:rPr>
                <w:rFonts w:ascii="Arial" w:hAnsi="Arial" w:cs="Arial"/>
                <w:b/>
              </w:rPr>
            </w:pPr>
            <w:r w:rsidRPr="00E23003">
              <w:rPr>
                <w:rFonts w:ascii="Arial" w:hAnsi="Arial" w:cs="Arial"/>
                <w:color w:val="FF0000"/>
              </w:rPr>
              <w:t>Obdobný</w:t>
            </w:r>
            <w:r w:rsidR="00663B13" w:rsidRPr="00E23003">
              <w:rPr>
                <w:rFonts w:ascii="Arial" w:hAnsi="Arial" w:cs="Arial"/>
                <w:color w:val="FF0000"/>
              </w:rPr>
              <w:t xml:space="preserve"> n</w:t>
            </w:r>
            <w:r w:rsidR="00663B13" w:rsidRPr="00E23003">
              <w:rPr>
                <w:rFonts w:ascii="Arial" w:hAnsi="Arial" w:cs="Arial"/>
                <w:color w:val="FF0000"/>
              </w:rPr>
              <w:t>ávrh byl předložen ve výboru pro životní prostředí, nebyl schválen a následně byl opětovně předložen ve 2. čtení.</w:t>
            </w:r>
          </w:p>
        </w:tc>
      </w:tr>
    </w:tbl>
    <w:p w14:paraId="25A41055" w14:textId="51D2C1BD" w:rsidR="00650D06" w:rsidRPr="0093259C" w:rsidRDefault="00650D06" w:rsidP="00E0354A">
      <w:pPr>
        <w:spacing w:before="120" w:after="0" w:line="240" w:lineRule="auto"/>
        <w:rPr>
          <w:rFonts w:ascii="Arial" w:hAnsi="Arial" w:cs="Arial"/>
        </w:rPr>
      </w:pPr>
      <w:bookmarkStart w:id="0" w:name="_GoBack"/>
      <w:bookmarkEnd w:id="0"/>
    </w:p>
    <w:sectPr w:rsidR="00650D06" w:rsidRPr="0093259C" w:rsidSect="007E0D9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D3C6E" w14:textId="77777777" w:rsidR="00741F73" w:rsidRDefault="00741F73" w:rsidP="008F419C">
      <w:pPr>
        <w:spacing w:after="0" w:line="240" w:lineRule="auto"/>
      </w:pPr>
      <w:r>
        <w:separator/>
      </w:r>
    </w:p>
  </w:endnote>
  <w:endnote w:type="continuationSeparator" w:id="0">
    <w:p w14:paraId="4EEBA64C" w14:textId="77777777" w:rsidR="00741F73" w:rsidRDefault="00741F73" w:rsidP="008F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E8FC" w14:textId="77777777" w:rsidR="00741F73" w:rsidRDefault="00741F73" w:rsidP="008F419C">
      <w:pPr>
        <w:spacing w:after="0" w:line="240" w:lineRule="auto"/>
      </w:pPr>
      <w:r>
        <w:separator/>
      </w:r>
    </w:p>
  </w:footnote>
  <w:footnote w:type="continuationSeparator" w:id="0">
    <w:p w14:paraId="6A0AE404" w14:textId="77777777" w:rsidR="00741F73" w:rsidRDefault="00741F73" w:rsidP="008F4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1569"/>
    <w:multiLevelType w:val="hybridMultilevel"/>
    <w:tmpl w:val="460A80A6"/>
    <w:lvl w:ilvl="0" w:tplc="04050001">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EA90EBC"/>
    <w:multiLevelType w:val="hybridMultilevel"/>
    <w:tmpl w:val="DF1844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056764D"/>
    <w:multiLevelType w:val="hybridMultilevel"/>
    <w:tmpl w:val="739A55A8"/>
    <w:lvl w:ilvl="0" w:tplc="82DC98C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AEF41DF"/>
    <w:multiLevelType w:val="hybridMultilevel"/>
    <w:tmpl w:val="06C4C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D35F08"/>
    <w:multiLevelType w:val="hybridMultilevel"/>
    <w:tmpl w:val="DF1844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12978C7"/>
    <w:multiLevelType w:val="multilevel"/>
    <w:tmpl w:val="83304B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8C"/>
    <w:rsid w:val="00012496"/>
    <w:rsid w:val="00014B69"/>
    <w:rsid w:val="000201A5"/>
    <w:rsid w:val="00041F69"/>
    <w:rsid w:val="000549BF"/>
    <w:rsid w:val="0006004C"/>
    <w:rsid w:val="000723D1"/>
    <w:rsid w:val="00074275"/>
    <w:rsid w:val="000742E4"/>
    <w:rsid w:val="00082B62"/>
    <w:rsid w:val="00084B96"/>
    <w:rsid w:val="000905D1"/>
    <w:rsid w:val="00092CA1"/>
    <w:rsid w:val="0009518C"/>
    <w:rsid w:val="000A2D65"/>
    <w:rsid w:val="000B34FF"/>
    <w:rsid w:val="000B49FB"/>
    <w:rsid w:val="000B73D6"/>
    <w:rsid w:val="000C1016"/>
    <w:rsid w:val="000C4417"/>
    <w:rsid w:val="000E7EDC"/>
    <w:rsid w:val="000F1149"/>
    <w:rsid w:val="000F31B9"/>
    <w:rsid w:val="000F38FD"/>
    <w:rsid w:val="00100F4F"/>
    <w:rsid w:val="00116B33"/>
    <w:rsid w:val="00116D6F"/>
    <w:rsid w:val="00142738"/>
    <w:rsid w:val="001473A5"/>
    <w:rsid w:val="00151FCC"/>
    <w:rsid w:val="001716C2"/>
    <w:rsid w:val="0018204D"/>
    <w:rsid w:val="001829C9"/>
    <w:rsid w:val="00184EE1"/>
    <w:rsid w:val="00187DE8"/>
    <w:rsid w:val="00193995"/>
    <w:rsid w:val="001A2A2E"/>
    <w:rsid w:val="001E1800"/>
    <w:rsid w:val="001E2C1B"/>
    <w:rsid w:val="001E44EA"/>
    <w:rsid w:val="001E5616"/>
    <w:rsid w:val="001F490D"/>
    <w:rsid w:val="00200480"/>
    <w:rsid w:val="00202C7C"/>
    <w:rsid w:val="002060B2"/>
    <w:rsid w:val="00212E8D"/>
    <w:rsid w:val="00213223"/>
    <w:rsid w:val="00214EC3"/>
    <w:rsid w:val="002252E3"/>
    <w:rsid w:val="002323EA"/>
    <w:rsid w:val="00252926"/>
    <w:rsid w:val="00257681"/>
    <w:rsid w:val="00257C34"/>
    <w:rsid w:val="00275497"/>
    <w:rsid w:val="00291670"/>
    <w:rsid w:val="00293A1B"/>
    <w:rsid w:val="00293AB1"/>
    <w:rsid w:val="002950DC"/>
    <w:rsid w:val="002952F7"/>
    <w:rsid w:val="002968D7"/>
    <w:rsid w:val="002A1273"/>
    <w:rsid w:val="002C16AB"/>
    <w:rsid w:val="002C2711"/>
    <w:rsid w:val="002C695C"/>
    <w:rsid w:val="002D0CEF"/>
    <w:rsid w:val="002D2D52"/>
    <w:rsid w:val="002D3B80"/>
    <w:rsid w:val="002D3D42"/>
    <w:rsid w:val="0032037D"/>
    <w:rsid w:val="00324A3E"/>
    <w:rsid w:val="00331419"/>
    <w:rsid w:val="00344C5C"/>
    <w:rsid w:val="003658BB"/>
    <w:rsid w:val="00375697"/>
    <w:rsid w:val="00377040"/>
    <w:rsid w:val="00386E8F"/>
    <w:rsid w:val="003A1A1B"/>
    <w:rsid w:val="003A3BC1"/>
    <w:rsid w:val="003B02D0"/>
    <w:rsid w:val="003B0B5D"/>
    <w:rsid w:val="003B6062"/>
    <w:rsid w:val="003D03D5"/>
    <w:rsid w:val="003E18D0"/>
    <w:rsid w:val="003F25C1"/>
    <w:rsid w:val="003F3884"/>
    <w:rsid w:val="00403B62"/>
    <w:rsid w:val="00412D01"/>
    <w:rsid w:val="004218DF"/>
    <w:rsid w:val="00433E26"/>
    <w:rsid w:val="00437487"/>
    <w:rsid w:val="004457A6"/>
    <w:rsid w:val="00463753"/>
    <w:rsid w:val="00463D89"/>
    <w:rsid w:val="00476CCD"/>
    <w:rsid w:val="0048277F"/>
    <w:rsid w:val="00490148"/>
    <w:rsid w:val="00490DF6"/>
    <w:rsid w:val="00493B6B"/>
    <w:rsid w:val="0049596D"/>
    <w:rsid w:val="004A1F99"/>
    <w:rsid w:val="004B2C51"/>
    <w:rsid w:val="004B36BA"/>
    <w:rsid w:val="004B4A1F"/>
    <w:rsid w:val="004B5D65"/>
    <w:rsid w:val="004B74C2"/>
    <w:rsid w:val="004B7B28"/>
    <w:rsid w:val="004D3815"/>
    <w:rsid w:val="004D4FD5"/>
    <w:rsid w:val="004E2962"/>
    <w:rsid w:val="004E3DE2"/>
    <w:rsid w:val="004E45B0"/>
    <w:rsid w:val="004E6561"/>
    <w:rsid w:val="004E72BE"/>
    <w:rsid w:val="004F6003"/>
    <w:rsid w:val="004F6F3B"/>
    <w:rsid w:val="00500D47"/>
    <w:rsid w:val="00515449"/>
    <w:rsid w:val="00541C95"/>
    <w:rsid w:val="00562CD8"/>
    <w:rsid w:val="005951A2"/>
    <w:rsid w:val="005979B9"/>
    <w:rsid w:val="005A7F9A"/>
    <w:rsid w:val="005C6AAE"/>
    <w:rsid w:val="005D002C"/>
    <w:rsid w:val="005D3D65"/>
    <w:rsid w:val="005E0EA2"/>
    <w:rsid w:val="005F38CF"/>
    <w:rsid w:val="00602E09"/>
    <w:rsid w:val="00605878"/>
    <w:rsid w:val="00606FFC"/>
    <w:rsid w:val="006245DA"/>
    <w:rsid w:val="00637304"/>
    <w:rsid w:val="00641C15"/>
    <w:rsid w:val="00650D06"/>
    <w:rsid w:val="00663B13"/>
    <w:rsid w:val="0066509F"/>
    <w:rsid w:val="00680D4F"/>
    <w:rsid w:val="00695AC4"/>
    <w:rsid w:val="006A5123"/>
    <w:rsid w:val="006B7358"/>
    <w:rsid w:val="006C2D70"/>
    <w:rsid w:val="006C5FC6"/>
    <w:rsid w:val="006D73EB"/>
    <w:rsid w:val="006F75A2"/>
    <w:rsid w:val="007041C1"/>
    <w:rsid w:val="0073137F"/>
    <w:rsid w:val="007352F6"/>
    <w:rsid w:val="00741D44"/>
    <w:rsid w:val="00741F73"/>
    <w:rsid w:val="00745028"/>
    <w:rsid w:val="00745A2A"/>
    <w:rsid w:val="0075689F"/>
    <w:rsid w:val="00756D17"/>
    <w:rsid w:val="007578CB"/>
    <w:rsid w:val="00764804"/>
    <w:rsid w:val="00764A4F"/>
    <w:rsid w:val="007658BC"/>
    <w:rsid w:val="00772918"/>
    <w:rsid w:val="00777AAD"/>
    <w:rsid w:val="0078534F"/>
    <w:rsid w:val="00790093"/>
    <w:rsid w:val="007A5381"/>
    <w:rsid w:val="007B71D3"/>
    <w:rsid w:val="007D1270"/>
    <w:rsid w:val="007D48F1"/>
    <w:rsid w:val="007D61A6"/>
    <w:rsid w:val="007E0D92"/>
    <w:rsid w:val="007E73F3"/>
    <w:rsid w:val="007E7AA0"/>
    <w:rsid w:val="007F4563"/>
    <w:rsid w:val="008040AF"/>
    <w:rsid w:val="00810728"/>
    <w:rsid w:val="00822341"/>
    <w:rsid w:val="00825BF8"/>
    <w:rsid w:val="00841A8E"/>
    <w:rsid w:val="008421BD"/>
    <w:rsid w:val="00845C46"/>
    <w:rsid w:val="0085021E"/>
    <w:rsid w:val="00860D40"/>
    <w:rsid w:val="00862508"/>
    <w:rsid w:val="00895CE5"/>
    <w:rsid w:val="008A22F0"/>
    <w:rsid w:val="008A719F"/>
    <w:rsid w:val="008A79DB"/>
    <w:rsid w:val="008B346F"/>
    <w:rsid w:val="008B3644"/>
    <w:rsid w:val="008C04A5"/>
    <w:rsid w:val="008C1369"/>
    <w:rsid w:val="008C7469"/>
    <w:rsid w:val="008D0ABC"/>
    <w:rsid w:val="008E1C0E"/>
    <w:rsid w:val="008E70EE"/>
    <w:rsid w:val="008F419C"/>
    <w:rsid w:val="008F6885"/>
    <w:rsid w:val="00905741"/>
    <w:rsid w:val="00906228"/>
    <w:rsid w:val="00914D07"/>
    <w:rsid w:val="00916018"/>
    <w:rsid w:val="00916B25"/>
    <w:rsid w:val="00923213"/>
    <w:rsid w:val="00923776"/>
    <w:rsid w:val="00931869"/>
    <w:rsid w:val="0093259C"/>
    <w:rsid w:val="00942C6D"/>
    <w:rsid w:val="009452F4"/>
    <w:rsid w:val="00946703"/>
    <w:rsid w:val="00946CF1"/>
    <w:rsid w:val="00951F0E"/>
    <w:rsid w:val="00953821"/>
    <w:rsid w:val="00976555"/>
    <w:rsid w:val="00977A57"/>
    <w:rsid w:val="0098043D"/>
    <w:rsid w:val="009846A9"/>
    <w:rsid w:val="009D0AF4"/>
    <w:rsid w:val="009E24BF"/>
    <w:rsid w:val="009F7672"/>
    <w:rsid w:val="00A025DA"/>
    <w:rsid w:val="00A06107"/>
    <w:rsid w:val="00A21B28"/>
    <w:rsid w:val="00A26C18"/>
    <w:rsid w:val="00A335DE"/>
    <w:rsid w:val="00A4261B"/>
    <w:rsid w:val="00A4503E"/>
    <w:rsid w:val="00A50CF1"/>
    <w:rsid w:val="00A6204B"/>
    <w:rsid w:val="00A62831"/>
    <w:rsid w:val="00A76EF3"/>
    <w:rsid w:val="00A808B2"/>
    <w:rsid w:val="00AA3AAC"/>
    <w:rsid w:val="00AB39D3"/>
    <w:rsid w:val="00AC135B"/>
    <w:rsid w:val="00AC5FF3"/>
    <w:rsid w:val="00AF1D75"/>
    <w:rsid w:val="00AF6AE5"/>
    <w:rsid w:val="00AF7110"/>
    <w:rsid w:val="00B109FE"/>
    <w:rsid w:val="00B153E0"/>
    <w:rsid w:val="00B175C1"/>
    <w:rsid w:val="00B2069E"/>
    <w:rsid w:val="00B23445"/>
    <w:rsid w:val="00B25F7F"/>
    <w:rsid w:val="00B26D21"/>
    <w:rsid w:val="00B33320"/>
    <w:rsid w:val="00B343C5"/>
    <w:rsid w:val="00B3772E"/>
    <w:rsid w:val="00B37BA3"/>
    <w:rsid w:val="00B63EAA"/>
    <w:rsid w:val="00B648B4"/>
    <w:rsid w:val="00B87115"/>
    <w:rsid w:val="00B96423"/>
    <w:rsid w:val="00BA2913"/>
    <w:rsid w:val="00BB2ABE"/>
    <w:rsid w:val="00BB2E31"/>
    <w:rsid w:val="00BC111D"/>
    <w:rsid w:val="00BC5F53"/>
    <w:rsid w:val="00BD3EDB"/>
    <w:rsid w:val="00BE04CA"/>
    <w:rsid w:val="00BE27AF"/>
    <w:rsid w:val="00BE36F0"/>
    <w:rsid w:val="00BE7042"/>
    <w:rsid w:val="00BF77FC"/>
    <w:rsid w:val="00C02909"/>
    <w:rsid w:val="00C168AF"/>
    <w:rsid w:val="00C20AB9"/>
    <w:rsid w:val="00C24C8D"/>
    <w:rsid w:val="00C26DB5"/>
    <w:rsid w:val="00C271CF"/>
    <w:rsid w:val="00C32758"/>
    <w:rsid w:val="00C340CF"/>
    <w:rsid w:val="00C41772"/>
    <w:rsid w:val="00C644C4"/>
    <w:rsid w:val="00C72DCD"/>
    <w:rsid w:val="00C977E8"/>
    <w:rsid w:val="00CA25C7"/>
    <w:rsid w:val="00CA2F42"/>
    <w:rsid w:val="00CA31D1"/>
    <w:rsid w:val="00CB4F36"/>
    <w:rsid w:val="00CC4823"/>
    <w:rsid w:val="00CC508C"/>
    <w:rsid w:val="00CC7515"/>
    <w:rsid w:val="00CC7991"/>
    <w:rsid w:val="00CE716F"/>
    <w:rsid w:val="00CE7B9A"/>
    <w:rsid w:val="00CF3E86"/>
    <w:rsid w:val="00CF7B60"/>
    <w:rsid w:val="00D01DF5"/>
    <w:rsid w:val="00D071EB"/>
    <w:rsid w:val="00D10F51"/>
    <w:rsid w:val="00D15CA4"/>
    <w:rsid w:val="00D260B1"/>
    <w:rsid w:val="00D27600"/>
    <w:rsid w:val="00D3495F"/>
    <w:rsid w:val="00D3582A"/>
    <w:rsid w:val="00D3691C"/>
    <w:rsid w:val="00D47113"/>
    <w:rsid w:val="00D6115D"/>
    <w:rsid w:val="00D627F7"/>
    <w:rsid w:val="00D75083"/>
    <w:rsid w:val="00D80036"/>
    <w:rsid w:val="00D921D2"/>
    <w:rsid w:val="00D93BA3"/>
    <w:rsid w:val="00D958DC"/>
    <w:rsid w:val="00DA01F7"/>
    <w:rsid w:val="00DB4071"/>
    <w:rsid w:val="00DC0AFF"/>
    <w:rsid w:val="00DD3CF3"/>
    <w:rsid w:val="00DE3760"/>
    <w:rsid w:val="00DE4713"/>
    <w:rsid w:val="00DE61B6"/>
    <w:rsid w:val="00DF186D"/>
    <w:rsid w:val="00DF6169"/>
    <w:rsid w:val="00E0168A"/>
    <w:rsid w:val="00E0354A"/>
    <w:rsid w:val="00E03A87"/>
    <w:rsid w:val="00E04D4A"/>
    <w:rsid w:val="00E153C7"/>
    <w:rsid w:val="00E15529"/>
    <w:rsid w:val="00E179EF"/>
    <w:rsid w:val="00E23003"/>
    <w:rsid w:val="00E30938"/>
    <w:rsid w:val="00E51342"/>
    <w:rsid w:val="00E52AAF"/>
    <w:rsid w:val="00E73A8B"/>
    <w:rsid w:val="00E901EE"/>
    <w:rsid w:val="00E90CDA"/>
    <w:rsid w:val="00E958AD"/>
    <w:rsid w:val="00EC2BCF"/>
    <w:rsid w:val="00ED1ED2"/>
    <w:rsid w:val="00ED4CCA"/>
    <w:rsid w:val="00ED5B0C"/>
    <w:rsid w:val="00ED7B47"/>
    <w:rsid w:val="00EE2E7C"/>
    <w:rsid w:val="00EE4EFC"/>
    <w:rsid w:val="00EF187F"/>
    <w:rsid w:val="00F017DC"/>
    <w:rsid w:val="00F05C35"/>
    <w:rsid w:val="00F11A13"/>
    <w:rsid w:val="00F20416"/>
    <w:rsid w:val="00F25E98"/>
    <w:rsid w:val="00F309EA"/>
    <w:rsid w:val="00F50C89"/>
    <w:rsid w:val="00F51F15"/>
    <w:rsid w:val="00F566D7"/>
    <w:rsid w:val="00F614EC"/>
    <w:rsid w:val="00F72D0C"/>
    <w:rsid w:val="00F91F06"/>
    <w:rsid w:val="00F93852"/>
    <w:rsid w:val="00F95BF5"/>
    <w:rsid w:val="00FA1850"/>
    <w:rsid w:val="00FA48DD"/>
    <w:rsid w:val="00FB1831"/>
    <w:rsid w:val="00FB45D9"/>
    <w:rsid w:val="00FB5C6A"/>
    <w:rsid w:val="00FC3B4B"/>
    <w:rsid w:val="00FD149F"/>
    <w:rsid w:val="00FD35F1"/>
    <w:rsid w:val="00FE0127"/>
    <w:rsid w:val="00FF57EA"/>
    <w:rsid w:val="00FF625B"/>
    <w:rsid w:val="00FF7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71B8"/>
  <w15:docId w15:val="{88AA6E2D-871C-4B63-820F-C10C04F9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A7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rsid w:val="00CC508C"/>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styleId="Odstavecseseznamem">
    <w:name w:val="List Paragraph"/>
    <w:aliases w:val="Dot pt,Indicator Text,LISTA,List Paragraph (Czech Tourism),List Paragraph Char Char Char,List Paragraph à moi,List Paragraph1,Listaszerű bekezdés1,Listaszerű bekezdés2,Listaszerű bekezdés3,Nad,No Spacing1,Numbered Para 1,Nad1"/>
    <w:basedOn w:val="Normln"/>
    <w:link w:val="OdstavecseseznamemChar"/>
    <w:uiPriority w:val="72"/>
    <w:qFormat/>
    <w:rsid w:val="00CC508C"/>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Zkladntext2">
    <w:name w:val="Základní text (2)_"/>
    <w:basedOn w:val="Standardnpsmoodstavce"/>
    <w:link w:val="Zkladntext20"/>
    <w:rsid w:val="00CC508C"/>
    <w:rPr>
      <w:rFonts w:ascii="Times New Roman" w:eastAsia="Times New Roman" w:hAnsi="Times New Roman" w:cs="Times New Roman"/>
      <w:shd w:val="clear" w:color="auto" w:fill="FFFFFF"/>
    </w:rPr>
  </w:style>
  <w:style w:type="paragraph" w:customStyle="1" w:styleId="Zkladntext20">
    <w:name w:val="Základní text (2)"/>
    <w:basedOn w:val="Normln"/>
    <w:link w:val="Zkladntext2"/>
    <w:rsid w:val="00CC508C"/>
    <w:pPr>
      <w:widowControl w:val="0"/>
      <w:shd w:val="clear" w:color="auto" w:fill="FFFFFF"/>
      <w:spacing w:before="240" w:after="0" w:line="274" w:lineRule="exact"/>
      <w:ind w:hanging="740"/>
      <w:jc w:val="both"/>
    </w:pPr>
    <w:rPr>
      <w:rFonts w:ascii="Times New Roman" w:eastAsia="Times New Roman" w:hAnsi="Times New Roman" w:cs="Times New Roman"/>
    </w:rPr>
  </w:style>
  <w:style w:type="paragraph" w:customStyle="1" w:styleId="Nadpis">
    <w:name w:val="Nadpis"/>
    <w:basedOn w:val="Normln"/>
    <w:next w:val="Zkladntext"/>
    <w:rsid w:val="00CC508C"/>
    <w:pPr>
      <w:keepNext/>
      <w:suppressAutoHyphens/>
      <w:spacing w:before="240" w:after="120" w:line="240" w:lineRule="auto"/>
    </w:pPr>
    <w:rPr>
      <w:rFonts w:ascii="Arial" w:eastAsia="Microsoft YaHei" w:hAnsi="Arial" w:cs="Mangal"/>
      <w:sz w:val="28"/>
      <w:szCs w:val="28"/>
      <w:lang w:eastAsia="zh-CN"/>
    </w:rPr>
  </w:style>
  <w:style w:type="paragraph" w:styleId="Bezmezer">
    <w:name w:val="No Spacing"/>
    <w:uiPriority w:val="1"/>
    <w:qFormat/>
    <w:rsid w:val="00CC508C"/>
    <w:pPr>
      <w:spacing w:after="0" w:line="240" w:lineRule="auto"/>
    </w:pPr>
  </w:style>
  <w:style w:type="character" w:styleId="PromnnHTML">
    <w:name w:val="HTML Variable"/>
    <w:basedOn w:val="Standardnpsmoodstavce"/>
    <w:uiPriority w:val="99"/>
    <w:semiHidden/>
    <w:unhideWhenUsed/>
    <w:rsid w:val="00CC508C"/>
    <w:rPr>
      <w:i/>
      <w:iCs/>
    </w:rPr>
  </w:style>
  <w:style w:type="paragraph" w:styleId="Zkladntext">
    <w:name w:val="Body Text"/>
    <w:basedOn w:val="Normln"/>
    <w:link w:val="ZkladntextChar"/>
    <w:uiPriority w:val="99"/>
    <w:unhideWhenUsed/>
    <w:rsid w:val="00CC508C"/>
    <w:pPr>
      <w:spacing w:after="120"/>
    </w:pPr>
  </w:style>
  <w:style w:type="character" w:customStyle="1" w:styleId="ZkladntextChar">
    <w:name w:val="Základní text Char"/>
    <w:basedOn w:val="Standardnpsmoodstavce"/>
    <w:link w:val="Zkladntext"/>
    <w:uiPriority w:val="99"/>
    <w:rsid w:val="00CC508C"/>
  </w:style>
  <w:style w:type="paragraph" w:styleId="Textbubliny">
    <w:name w:val="Balloon Text"/>
    <w:basedOn w:val="Normln"/>
    <w:link w:val="TextbublinyChar"/>
    <w:uiPriority w:val="99"/>
    <w:semiHidden/>
    <w:unhideWhenUsed/>
    <w:rsid w:val="00A620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204B"/>
    <w:rPr>
      <w:rFonts w:ascii="Segoe UI" w:hAnsi="Segoe UI" w:cs="Segoe UI"/>
      <w:sz w:val="18"/>
      <w:szCs w:val="18"/>
    </w:rPr>
  </w:style>
  <w:style w:type="character" w:styleId="Odkaznakoment">
    <w:name w:val="annotation reference"/>
    <w:basedOn w:val="Standardnpsmoodstavce"/>
    <w:uiPriority w:val="99"/>
    <w:semiHidden/>
    <w:unhideWhenUsed/>
    <w:rsid w:val="00951F0E"/>
    <w:rPr>
      <w:sz w:val="16"/>
      <w:szCs w:val="16"/>
    </w:rPr>
  </w:style>
  <w:style w:type="paragraph" w:styleId="Textkomente">
    <w:name w:val="annotation text"/>
    <w:basedOn w:val="Normln"/>
    <w:link w:val="TextkomenteChar"/>
    <w:uiPriority w:val="99"/>
    <w:semiHidden/>
    <w:unhideWhenUsed/>
    <w:rsid w:val="00951F0E"/>
    <w:pPr>
      <w:spacing w:line="240" w:lineRule="auto"/>
    </w:pPr>
    <w:rPr>
      <w:sz w:val="20"/>
      <w:szCs w:val="20"/>
    </w:rPr>
  </w:style>
  <w:style w:type="character" w:customStyle="1" w:styleId="TextkomenteChar">
    <w:name w:val="Text komentáře Char"/>
    <w:basedOn w:val="Standardnpsmoodstavce"/>
    <w:link w:val="Textkomente"/>
    <w:uiPriority w:val="99"/>
    <w:semiHidden/>
    <w:rsid w:val="00951F0E"/>
    <w:rPr>
      <w:sz w:val="20"/>
      <w:szCs w:val="20"/>
    </w:rPr>
  </w:style>
  <w:style w:type="paragraph" w:styleId="Pedmtkomente">
    <w:name w:val="annotation subject"/>
    <w:basedOn w:val="Textkomente"/>
    <w:next w:val="Textkomente"/>
    <w:link w:val="PedmtkomenteChar"/>
    <w:uiPriority w:val="99"/>
    <w:semiHidden/>
    <w:unhideWhenUsed/>
    <w:rsid w:val="00951F0E"/>
    <w:rPr>
      <w:b/>
      <w:bCs/>
    </w:rPr>
  </w:style>
  <w:style w:type="character" w:customStyle="1" w:styleId="PedmtkomenteChar">
    <w:name w:val="Předmět komentáře Char"/>
    <w:basedOn w:val="TextkomenteChar"/>
    <w:link w:val="Pedmtkomente"/>
    <w:uiPriority w:val="99"/>
    <w:semiHidden/>
    <w:rsid w:val="00951F0E"/>
    <w:rPr>
      <w:b/>
      <w:bCs/>
      <w:sz w:val="20"/>
      <w:szCs w:val="20"/>
    </w:rPr>
  </w:style>
  <w:style w:type="paragraph" w:customStyle="1" w:styleId="Nadpisparagrafu">
    <w:name w:val="Nadpis paragrafu"/>
    <w:basedOn w:val="Normln"/>
    <w:next w:val="Normln"/>
    <w:rsid w:val="002C2711"/>
    <w:pPr>
      <w:keepNext/>
      <w:keepLines/>
      <w:spacing w:before="240" w:after="200" w:line="276" w:lineRule="auto"/>
      <w:jc w:val="center"/>
      <w:outlineLvl w:val="5"/>
    </w:pPr>
    <w:rPr>
      <w:rFonts w:ascii="Calibri" w:eastAsia="Calibri" w:hAnsi="Calibri" w:cs="Times New Roman"/>
      <w:b/>
    </w:rPr>
  </w:style>
  <w:style w:type="paragraph" w:styleId="Zkladntextodsazen">
    <w:name w:val="Body Text Indent"/>
    <w:basedOn w:val="Normln"/>
    <w:link w:val="ZkladntextodsazenChar"/>
    <w:uiPriority w:val="99"/>
    <w:semiHidden/>
    <w:unhideWhenUsed/>
    <w:rsid w:val="00860D40"/>
    <w:pPr>
      <w:spacing w:after="120"/>
      <w:ind w:left="283"/>
    </w:pPr>
  </w:style>
  <w:style w:type="character" w:customStyle="1" w:styleId="ZkladntextodsazenChar">
    <w:name w:val="Základní text odsazený Char"/>
    <w:basedOn w:val="Standardnpsmoodstavce"/>
    <w:link w:val="Zkladntextodsazen"/>
    <w:uiPriority w:val="99"/>
    <w:semiHidden/>
    <w:rsid w:val="00860D40"/>
  </w:style>
  <w:style w:type="character" w:customStyle="1" w:styleId="Nadpis1Char">
    <w:name w:val="Nadpis 1 Char"/>
    <w:basedOn w:val="Standardnpsmoodstavce"/>
    <w:link w:val="Nadpis1"/>
    <w:uiPriority w:val="9"/>
    <w:rsid w:val="008A719F"/>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Dot pt Char,Indicator Text Char,LISTA Char,List Paragraph (Czech Tourism) Char,List Paragraph Char Char Char Char,List Paragraph à moi Char,List Paragraph1 Char,Listaszerű bekezdés1 Char,Listaszerű bekezdés2 Char,Nad Char"/>
    <w:link w:val="Odstavecseseznamem"/>
    <w:uiPriority w:val="72"/>
    <w:qFormat/>
    <w:locked/>
    <w:rsid w:val="00E153C7"/>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F41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19C"/>
  </w:style>
  <w:style w:type="paragraph" w:styleId="Zpat">
    <w:name w:val="footer"/>
    <w:basedOn w:val="Normln"/>
    <w:link w:val="ZpatChar"/>
    <w:uiPriority w:val="99"/>
    <w:unhideWhenUsed/>
    <w:rsid w:val="008F41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31433">
      <w:bodyDiv w:val="1"/>
      <w:marLeft w:val="0"/>
      <w:marRight w:val="0"/>
      <w:marTop w:val="0"/>
      <w:marBottom w:val="0"/>
      <w:divBdr>
        <w:top w:val="none" w:sz="0" w:space="0" w:color="auto"/>
        <w:left w:val="none" w:sz="0" w:space="0" w:color="auto"/>
        <w:bottom w:val="none" w:sz="0" w:space="0" w:color="auto"/>
        <w:right w:val="none" w:sz="0" w:space="0" w:color="auto"/>
      </w:divBdr>
    </w:div>
    <w:div w:id="375858733">
      <w:bodyDiv w:val="1"/>
      <w:marLeft w:val="0"/>
      <w:marRight w:val="0"/>
      <w:marTop w:val="0"/>
      <w:marBottom w:val="0"/>
      <w:divBdr>
        <w:top w:val="none" w:sz="0" w:space="0" w:color="auto"/>
        <w:left w:val="none" w:sz="0" w:space="0" w:color="auto"/>
        <w:bottom w:val="none" w:sz="0" w:space="0" w:color="auto"/>
        <w:right w:val="none" w:sz="0" w:space="0" w:color="auto"/>
      </w:divBdr>
    </w:div>
    <w:div w:id="527915819">
      <w:bodyDiv w:val="1"/>
      <w:marLeft w:val="0"/>
      <w:marRight w:val="0"/>
      <w:marTop w:val="0"/>
      <w:marBottom w:val="0"/>
      <w:divBdr>
        <w:top w:val="none" w:sz="0" w:space="0" w:color="auto"/>
        <w:left w:val="none" w:sz="0" w:space="0" w:color="auto"/>
        <w:bottom w:val="none" w:sz="0" w:space="0" w:color="auto"/>
        <w:right w:val="none" w:sz="0" w:space="0" w:color="auto"/>
      </w:divBdr>
    </w:div>
    <w:div w:id="864096119">
      <w:bodyDiv w:val="1"/>
      <w:marLeft w:val="0"/>
      <w:marRight w:val="0"/>
      <w:marTop w:val="0"/>
      <w:marBottom w:val="0"/>
      <w:divBdr>
        <w:top w:val="none" w:sz="0" w:space="0" w:color="auto"/>
        <w:left w:val="none" w:sz="0" w:space="0" w:color="auto"/>
        <w:bottom w:val="none" w:sz="0" w:space="0" w:color="auto"/>
        <w:right w:val="none" w:sz="0" w:space="0" w:color="auto"/>
      </w:divBdr>
    </w:div>
    <w:div w:id="1116215900">
      <w:bodyDiv w:val="1"/>
      <w:marLeft w:val="0"/>
      <w:marRight w:val="0"/>
      <w:marTop w:val="0"/>
      <w:marBottom w:val="0"/>
      <w:divBdr>
        <w:top w:val="none" w:sz="0" w:space="0" w:color="auto"/>
        <w:left w:val="none" w:sz="0" w:space="0" w:color="auto"/>
        <w:bottom w:val="none" w:sz="0" w:space="0" w:color="auto"/>
        <w:right w:val="none" w:sz="0" w:space="0" w:color="auto"/>
      </w:divBdr>
    </w:div>
    <w:div w:id="1197160044">
      <w:bodyDiv w:val="1"/>
      <w:marLeft w:val="0"/>
      <w:marRight w:val="0"/>
      <w:marTop w:val="0"/>
      <w:marBottom w:val="0"/>
      <w:divBdr>
        <w:top w:val="none" w:sz="0" w:space="0" w:color="auto"/>
        <w:left w:val="none" w:sz="0" w:space="0" w:color="auto"/>
        <w:bottom w:val="none" w:sz="0" w:space="0" w:color="auto"/>
        <w:right w:val="none" w:sz="0" w:space="0" w:color="auto"/>
      </w:divBdr>
    </w:div>
    <w:div w:id="1201630524">
      <w:bodyDiv w:val="1"/>
      <w:marLeft w:val="0"/>
      <w:marRight w:val="0"/>
      <w:marTop w:val="0"/>
      <w:marBottom w:val="0"/>
      <w:divBdr>
        <w:top w:val="none" w:sz="0" w:space="0" w:color="auto"/>
        <w:left w:val="none" w:sz="0" w:space="0" w:color="auto"/>
        <w:bottom w:val="none" w:sz="0" w:space="0" w:color="auto"/>
        <w:right w:val="none" w:sz="0" w:space="0" w:color="auto"/>
      </w:divBdr>
    </w:div>
    <w:div w:id="1502240572">
      <w:bodyDiv w:val="1"/>
      <w:marLeft w:val="0"/>
      <w:marRight w:val="0"/>
      <w:marTop w:val="0"/>
      <w:marBottom w:val="0"/>
      <w:divBdr>
        <w:top w:val="none" w:sz="0" w:space="0" w:color="auto"/>
        <w:left w:val="none" w:sz="0" w:space="0" w:color="auto"/>
        <w:bottom w:val="none" w:sz="0" w:space="0" w:color="auto"/>
        <w:right w:val="none" w:sz="0" w:space="0" w:color="auto"/>
      </w:divBdr>
    </w:div>
    <w:div w:id="1541867481">
      <w:bodyDiv w:val="1"/>
      <w:marLeft w:val="0"/>
      <w:marRight w:val="0"/>
      <w:marTop w:val="0"/>
      <w:marBottom w:val="0"/>
      <w:divBdr>
        <w:top w:val="none" w:sz="0" w:space="0" w:color="auto"/>
        <w:left w:val="none" w:sz="0" w:space="0" w:color="auto"/>
        <w:bottom w:val="none" w:sz="0" w:space="0" w:color="auto"/>
        <w:right w:val="none" w:sz="0" w:space="0" w:color="auto"/>
      </w:divBdr>
    </w:div>
    <w:div w:id="1666203279">
      <w:bodyDiv w:val="1"/>
      <w:marLeft w:val="0"/>
      <w:marRight w:val="0"/>
      <w:marTop w:val="0"/>
      <w:marBottom w:val="0"/>
      <w:divBdr>
        <w:top w:val="none" w:sz="0" w:space="0" w:color="auto"/>
        <w:left w:val="none" w:sz="0" w:space="0" w:color="auto"/>
        <w:bottom w:val="none" w:sz="0" w:space="0" w:color="auto"/>
        <w:right w:val="none" w:sz="0" w:space="0" w:color="auto"/>
      </w:divBdr>
    </w:div>
    <w:div w:id="1677490130">
      <w:bodyDiv w:val="1"/>
      <w:marLeft w:val="0"/>
      <w:marRight w:val="0"/>
      <w:marTop w:val="0"/>
      <w:marBottom w:val="0"/>
      <w:divBdr>
        <w:top w:val="none" w:sz="0" w:space="0" w:color="auto"/>
        <w:left w:val="none" w:sz="0" w:space="0" w:color="auto"/>
        <w:bottom w:val="none" w:sz="0" w:space="0" w:color="auto"/>
        <w:right w:val="none" w:sz="0" w:space="0" w:color="auto"/>
      </w:divBdr>
    </w:div>
    <w:div w:id="1986667812">
      <w:bodyDiv w:val="1"/>
      <w:marLeft w:val="0"/>
      <w:marRight w:val="0"/>
      <w:marTop w:val="0"/>
      <w:marBottom w:val="0"/>
      <w:divBdr>
        <w:top w:val="none" w:sz="0" w:space="0" w:color="auto"/>
        <w:left w:val="none" w:sz="0" w:space="0" w:color="auto"/>
        <w:bottom w:val="none" w:sz="0" w:space="0" w:color="auto"/>
        <w:right w:val="none" w:sz="0" w:space="0" w:color="auto"/>
      </w:divBdr>
    </w:div>
    <w:div w:id="2002653235">
      <w:bodyDiv w:val="1"/>
      <w:marLeft w:val="0"/>
      <w:marRight w:val="0"/>
      <w:marTop w:val="0"/>
      <w:marBottom w:val="0"/>
      <w:divBdr>
        <w:top w:val="none" w:sz="0" w:space="0" w:color="auto"/>
        <w:left w:val="none" w:sz="0" w:space="0" w:color="auto"/>
        <w:bottom w:val="none" w:sz="0" w:space="0" w:color="auto"/>
        <w:right w:val="none" w:sz="0" w:space="0" w:color="auto"/>
      </w:divBdr>
    </w:div>
    <w:div w:id="20554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0811-0244-437F-A5FD-51595FC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2400</Words>
  <Characters>14165</Characters>
  <Application>Microsoft Office Word</Application>
  <DocSecurity>0</DocSecurity>
  <Lines>118</Lines>
  <Paragraphs>33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Josef Beneš</cp:lastModifiedBy>
  <cp:revision>87</cp:revision>
  <cp:lastPrinted>2018-03-26T14:16:00Z</cp:lastPrinted>
  <dcterms:created xsi:type="dcterms:W3CDTF">2022-06-06T11:07:00Z</dcterms:created>
  <dcterms:modified xsi:type="dcterms:W3CDTF">2022-06-06T20:09:00Z</dcterms:modified>
</cp:coreProperties>
</file>