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8F1E71" w:rsidP="000E730C">
      <w:pPr>
        <w:pStyle w:val="PS-slousnesen"/>
      </w:pPr>
      <w:r>
        <w:t>16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CE5403">
        <w:t>e 4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CE5403">
        <w:t>24</w:t>
      </w:r>
      <w:r w:rsidR="0076247D">
        <w:t xml:space="preserve">. </w:t>
      </w:r>
      <w:r w:rsidR="00CE5403">
        <w:t>února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8D3C0B" w:rsidRDefault="00A3529C" w:rsidP="00593CB0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D3C0B">
        <w:rPr>
          <w:rFonts w:ascii="Times New Roman" w:hAnsi="Times New Roman"/>
          <w:spacing w:val="-3"/>
          <w:sz w:val="24"/>
          <w:szCs w:val="24"/>
        </w:rPr>
        <w:t>k</w:t>
      </w:r>
      <w:r w:rsidR="00EF61E6">
        <w:rPr>
          <w:rFonts w:ascii="Times New Roman" w:hAnsi="Times New Roman"/>
          <w:spacing w:val="-3"/>
          <w:sz w:val="24"/>
          <w:szCs w:val="24"/>
        </w:rPr>
        <w:t xml:space="preserve"> vládnímu</w:t>
      </w:r>
      <w:r w:rsidR="00AF297C" w:rsidRPr="008D3C0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</w:t>
      </w:r>
      <w:r w:rsidR="008D3C0B" w:rsidRP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ávrh</w:t>
      </w:r>
      <w:r w:rsid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="00EF61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státního</w:t>
      </w:r>
      <w:r w:rsidR="00AB1D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rozpočtu</w:t>
      </w:r>
      <w:r w:rsidR="00EF61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České republiky na rok 2022, kapitola</w:t>
      </w:r>
      <w:r w:rsidR="00AB1D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381</w:t>
      </w:r>
      <w:r w:rsidR="008D3C0B" w:rsidRP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– </w:t>
      </w:r>
      <w:r w:rsidR="00AB1D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Nejvyšší kontrolní úřad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3C0B" w:rsidRPr="007528DD" w:rsidRDefault="008D3C0B" w:rsidP="008D3C0B">
      <w:pPr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</w:t>
      </w:r>
      <w:r w:rsidR="00AB1D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prezidenta Nejvyššího kontrolního úřadu Miloslava Kaly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zpravodajské zprávě poslance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Vícha,</w:t>
      </w: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stanovisku </w:t>
      </w:r>
      <w:r w:rsidR="0095521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ředitelky odboru Rozpočtová politika společensky významných odvětví Ministerstva financí Heleny Doktorové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 po rozpravě</w:t>
      </w:r>
    </w:p>
    <w:p w:rsidR="008D3C0B" w:rsidRDefault="008D3C0B" w:rsidP="008D3C0B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459FD" w:rsidRPr="007528DD" w:rsidRDefault="001459FD" w:rsidP="008D3C0B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3C0B" w:rsidRDefault="008D3C0B" w:rsidP="008D3C0B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810E7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doporučuje </w:t>
      </w:r>
      <w:r w:rsidRPr="00810E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Poslanecké sněmovně Parlamentu ČR, aby návrh</w:t>
      </w:r>
      <w:r w:rsidR="00BF0D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státního</w:t>
      </w:r>
      <w:r w:rsidRPr="00810E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rozpočtu</w:t>
      </w:r>
      <w:r w:rsidR="00BF0D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</w:t>
      </w:r>
      <w:r w:rsidR="00EF61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eské republiky</w:t>
      </w:r>
      <w:r w:rsidR="00BF0D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rok 2022, kapitola</w:t>
      </w:r>
      <w:r w:rsidRPr="00810E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381 – </w:t>
      </w:r>
      <w:r w:rsidRPr="00810E75">
        <w:rPr>
          <w:rFonts w:ascii="Times New Roman" w:hAnsi="Times New Roman"/>
          <w:spacing w:val="-3"/>
          <w:sz w:val="24"/>
          <w:szCs w:val="24"/>
        </w:rPr>
        <w:t>Nejvyšší kontrolní úřad</w:t>
      </w:r>
      <w:r w:rsidR="00BF0D5E">
        <w:rPr>
          <w:rFonts w:ascii="Times New Roman" w:hAnsi="Times New Roman"/>
          <w:spacing w:val="-3"/>
          <w:sz w:val="24"/>
          <w:szCs w:val="24"/>
        </w:rPr>
        <w:t>,</w:t>
      </w:r>
      <w:r w:rsidRPr="00810E7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413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28DD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cs-CZ"/>
        </w:rPr>
        <w:t>schválila</w:t>
      </w:r>
      <w:r w:rsidRPr="00810E75">
        <w:rPr>
          <w:rFonts w:ascii="Times New Roman" w:hAnsi="Times New Roman"/>
          <w:spacing w:val="-3"/>
          <w:sz w:val="24"/>
          <w:szCs w:val="24"/>
        </w:rPr>
        <w:t xml:space="preserve"> ve výši příjmů </w:t>
      </w:r>
      <w:r w:rsidR="008168AA">
        <w:rPr>
          <w:rFonts w:ascii="Times New Roman" w:hAnsi="Times New Roman"/>
          <w:spacing w:val="-3"/>
          <w:sz w:val="24"/>
          <w:szCs w:val="24"/>
        </w:rPr>
        <w:t>625 </w:t>
      </w:r>
      <w:r w:rsidR="00AB1D5C">
        <w:rPr>
          <w:rFonts w:ascii="Times New Roman" w:hAnsi="Times New Roman"/>
          <w:spacing w:val="-3"/>
          <w:sz w:val="24"/>
          <w:szCs w:val="24"/>
        </w:rPr>
        <w:t>517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="00593CB0">
        <w:rPr>
          <w:rFonts w:ascii="Times New Roman" w:hAnsi="Times New Roman"/>
          <w:spacing w:val="-3"/>
          <w:sz w:val="24"/>
          <w:szCs w:val="24"/>
        </w:rPr>
        <w:t>Kč</w:t>
      </w:r>
      <w:r w:rsidR="00BF0D5E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593CB0">
        <w:rPr>
          <w:rFonts w:ascii="Times New Roman" w:hAnsi="Times New Roman"/>
          <w:spacing w:val="-3"/>
          <w:sz w:val="24"/>
          <w:szCs w:val="24"/>
        </w:rPr>
        <w:t> </w:t>
      </w:r>
      <w:r w:rsidRPr="00810E75">
        <w:rPr>
          <w:rFonts w:ascii="Times New Roman" w:hAnsi="Times New Roman"/>
          <w:spacing w:val="-3"/>
          <w:sz w:val="24"/>
          <w:szCs w:val="24"/>
        </w:rPr>
        <w:t xml:space="preserve">ve výši výdajů </w:t>
      </w:r>
      <w:r w:rsidR="00BF0D5E">
        <w:rPr>
          <w:rFonts w:ascii="Times New Roman" w:hAnsi="Times New Roman"/>
          <w:spacing w:val="-3"/>
          <w:sz w:val="24"/>
          <w:szCs w:val="24"/>
        </w:rPr>
        <w:t>808 940 </w:t>
      </w:r>
      <w:r w:rsidR="00AB1D5C">
        <w:rPr>
          <w:rFonts w:ascii="Times New Roman" w:hAnsi="Times New Roman"/>
          <w:spacing w:val="-3"/>
          <w:sz w:val="24"/>
          <w:szCs w:val="24"/>
        </w:rPr>
        <w:t>731</w:t>
      </w:r>
      <w:r w:rsidR="00BF0D5E">
        <w:rPr>
          <w:rFonts w:ascii="Times New Roman" w:hAnsi="Times New Roman"/>
          <w:spacing w:val="-3"/>
          <w:sz w:val="24"/>
          <w:szCs w:val="24"/>
        </w:rPr>
        <w:t> </w:t>
      </w:r>
      <w:r w:rsidRPr="00810E75">
        <w:rPr>
          <w:rFonts w:ascii="Times New Roman" w:hAnsi="Times New Roman"/>
          <w:spacing w:val="-3"/>
          <w:sz w:val="24"/>
          <w:szCs w:val="24"/>
        </w:rPr>
        <w:t>Kč</w:t>
      </w:r>
      <w:r w:rsidR="00BF0D5E">
        <w:rPr>
          <w:rFonts w:ascii="Times New Roman" w:hAnsi="Times New Roman"/>
          <w:spacing w:val="-3"/>
          <w:sz w:val="24"/>
          <w:szCs w:val="24"/>
        </w:rPr>
        <w:t>, z toho kapitálové výdaje 181 300 000 Kč</w:t>
      </w:r>
      <w:r w:rsidRPr="00810E75">
        <w:rPr>
          <w:rFonts w:ascii="Times New Roman" w:hAnsi="Times New Roman"/>
          <w:spacing w:val="-3"/>
          <w:sz w:val="24"/>
          <w:szCs w:val="24"/>
        </w:rPr>
        <w:t>;</w:t>
      </w:r>
    </w:p>
    <w:p w:rsidR="00FD1CCE" w:rsidRDefault="00FD1CCE" w:rsidP="00FD1CCE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459FD" w:rsidRDefault="001459FD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D3C0B" w:rsidRPr="007C5E0A" w:rsidRDefault="0063284E" w:rsidP="007C5E0A">
      <w:pPr>
        <w:pStyle w:val="Odstavecseseznamem"/>
        <w:ind w:left="715" w:hanging="71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</w:t>
      </w:r>
      <w:r w:rsidR="00FD1CC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</w:t>
      </w:r>
      <w:r w:rsidR="00A97069" w:rsidRPr="007911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  <w:r w:rsidR="00A97069" w:rsidRPr="007911E4">
        <w:rPr>
          <w:rFonts w:ascii="Times New Roman" w:eastAsia="Times New Roman" w:hAnsi="Times New Roman"/>
          <w:b/>
          <w:bCs/>
          <w:spacing w:val="80"/>
          <w:sz w:val="24"/>
          <w:szCs w:val="24"/>
          <w:lang w:eastAsia="cs-CZ"/>
        </w:rPr>
        <w:tab/>
      </w:r>
      <w:r w:rsidR="008D3C0B" w:rsidRPr="007C5E0A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zmocňuje </w:t>
      </w:r>
      <w:r w:rsidR="008D3C0B" w:rsidRPr="007C5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zpravodaje</w:t>
      </w:r>
      <w:r w:rsidR="00D4231C" w:rsidRPr="007C5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výboru, aby s </w:t>
      </w:r>
      <w:r w:rsidR="008D3C0B" w:rsidRPr="007C5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tímto usnesením seznámil schůzku zpravodajů výborů na jednání Rozpočtového výboru;</w:t>
      </w:r>
    </w:p>
    <w:p w:rsidR="008D3C0B" w:rsidRDefault="008D3C0B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459FD" w:rsidRPr="007528DD" w:rsidRDefault="001459FD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87605" w:rsidRPr="00CE5403" w:rsidRDefault="0063284E" w:rsidP="008D3C0B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</w:t>
      </w:r>
      <w:r w:rsidR="007C5E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</w:t>
      </w:r>
      <w:bookmarkStart w:id="0" w:name="_GoBack"/>
      <w:bookmarkEnd w:id="0"/>
      <w:r w:rsidR="008D3C0B" w:rsidRPr="007528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8D3C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8D3C0B" w:rsidRPr="007528DD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zmocňuje </w:t>
      </w:r>
      <w:r w:rsidR="008D3C0B" w:rsidRPr="007528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AB1D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úřadu</w:t>
      </w:r>
      <w:r w:rsidR="008D3C0B" w:rsidRPr="007528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A3529C" w:rsidRPr="00907376" w:rsidRDefault="00A3529C" w:rsidP="00F87605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E5403" w:rsidRDefault="00CE540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E5403" w:rsidRDefault="00CE540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3211A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56B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CC694F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3211A3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CE5403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</w:t>
            </w:r>
            <w:r w:rsidR="00CC69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ředseda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– zpravodaj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7B2C0B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787AF7"/>
    <w:multiLevelType w:val="hybridMultilevel"/>
    <w:tmpl w:val="46E4EA6E"/>
    <w:lvl w:ilvl="0" w:tplc="1B362BAE">
      <w:start w:val="3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D22BE"/>
    <w:multiLevelType w:val="hybridMultilevel"/>
    <w:tmpl w:val="BF2445A6"/>
    <w:lvl w:ilvl="0" w:tplc="CDD29B2E">
      <w:start w:val="3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B5E5513"/>
    <w:multiLevelType w:val="hybridMultilevel"/>
    <w:tmpl w:val="118C99F8"/>
    <w:lvl w:ilvl="0" w:tplc="910858DE">
      <w:start w:val="4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36BE0"/>
    <w:multiLevelType w:val="hybridMultilevel"/>
    <w:tmpl w:val="91980CC6"/>
    <w:lvl w:ilvl="0" w:tplc="7D687B6E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19"/>
  </w:num>
  <w:num w:numId="16">
    <w:abstractNumId w:val="28"/>
  </w:num>
  <w:num w:numId="17">
    <w:abstractNumId w:val="11"/>
  </w:num>
  <w:num w:numId="18">
    <w:abstractNumId w:val="10"/>
  </w:num>
  <w:num w:numId="19">
    <w:abstractNumId w:val="22"/>
  </w:num>
  <w:num w:numId="20">
    <w:abstractNumId w:val="17"/>
  </w:num>
  <w:num w:numId="21">
    <w:abstractNumId w:val="27"/>
  </w:num>
  <w:num w:numId="22">
    <w:abstractNumId w:val="26"/>
  </w:num>
  <w:num w:numId="23">
    <w:abstractNumId w:val="16"/>
  </w:num>
  <w:num w:numId="24">
    <w:abstractNumId w:val="23"/>
  </w:num>
  <w:num w:numId="25">
    <w:abstractNumId w:val="13"/>
  </w:num>
  <w:num w:numId="26">
    <w:abstractNumId w:val="25"/>
  </w:num>
  <w:num w:numId="27">
    <w:abstractNumId w:val="29"/>
  </w:num>
  <w:num w:numId="28">
    <w:abstractNumId w:val="18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21F6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59FD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13539"/>
    <w:rsid w:val="00230024"/>
    <w:rsid w:val="00237802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2995"/>
    <w:rsid w:val="003D5633"/>
    <w:rsid w:val="003F3A68"/>
    <w:rsid w:val="003F7D86"/>
    <w:rsid w:val="004015B1"/>
    <w:rsid w:val="00407850"/>
    <w:rsid w:val="00407A21"/>
    <w:rsid w:val="00410062"/>
    <w:rsid w:val="0042117A"/>
    <w:rsid w:val="0043216D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93CB0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284E"/>
    <w:rsid w:val="00637489"/>
    <w:rsid w:val="00644849"/>
    <w:rsid w:val="00656C45"/>
    <w:rsid w:val="00661D05"/>
    <w:rsid w:val="006850AA"/>
    <w:rsid w:val="006869AA"/>
    <w:rsid w:val="006D427E"/>
    <w:rsid w:val="006D73CB"/>
    <w:rsid w:val="006E0383"/>
    <w:rsid w:val="0070749C"/>
    <w:rsid w:val="00724D30"/>
    <w:rsid w:val="0076247D"/>
    <w:rsid w:val="007679F4"/>
    <w:rsid w:val="00777394"/>
    <w:rsid w:val="00785E70"/>
    <w:rsid w:val="007911E4"/>
    <w:rsid w:val="007A3C67"/>
    <w:rsid w:val="007B2C0B"/>
    <w:rsid w:val="007C5E0A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168AA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3C0B"/>
    <w:rsid w:val="008D411E"/>
    <w:rsid w:val="008F1E71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21E"/>
    <w:rsid w:val="0095572A"/>
    <w:rsid w:val="009704BE"/>
    <w:rsid w:val="009711DE"/>
    <w:rsid w:val="0098531F"/>
    <w:rsid w:val="0098578A"/>
    <w:rsid w:val="009964C2"/>
    <w:rsid w:val="009B3DC1"/>
    <w:rsid w:val="009C32E8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130B"/>
    <w:rsid w:val="00A4628B"/>
    <w:rsid w:val="00A46CDA"/>
    <w:rsid w:val="00A67FEB"/>
    <w:rsid w:val="00A728DE"/>
    <w:rsid w:val="00A97069"/>
    <w:rsid w:val="00AA0D27"/>
    <w:rsid w:val="00AB1D5C"/>
    <w:rsid w:val="00AC049E"/>
    <w:rsid w:val="00AC4629"/>
    <w:rsid w:val="00AD4726"/>
    <w:rsid w:val="00AD6664"/>
    <w:rsid w:val="00AF297C"/>
    <w:rsid w:val="00B07194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0D5E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F143E"/>
    <w:rsid w:val="00D41E9B"/>
    <w:rsid w:val="00D4231C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A5080"/>
    <w:rsid w:val="00EC2249"/>
    <w:rsid w:val="00ED15A8"/>
    <w:rsid w:val="00EF1F98"/>
    <w:rsid w:val="00EF3B15"/>
    <w:rsid w:val="00EF5098"/>
    <w:rsid w:val="00EF61E6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1CCE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91A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2FB8-2DFC-4269-A137-FD326AF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4</cp:revision>
  <cp:lastPrinted>2022-02-22T16:36:00Z</cp:lastPrinted>
  <dcterms:created xsi:type="dcterms:W3CDTF">2022-02-24T06:37:00Z</dcterms:created>
  <dcterms:modified xsi:type="dcterms:W3CDTF">2022-02-24T06:38:00Z</dcterms:modified>
</cp:coreProperties>
</file>