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4F" w:rsidRDefault="00B4725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-251460</wp:posOffset>
                </wp:positionV>
                <wp:extent cx="1838325" cy="706120"/>
                <wp:effectExtent l="0" t="0" r="0" b="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0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895" w:type="dxa"/>
                              <w:jc w:val="righ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95"/>
                            </w:tblGrid>
                            <w:tr w:rsidR="00E81E4F">
                              <w:trPr>
                                <w:jc w:val="right"/>
                              </w:trPr>
                              <w:tc>
                                <w:tcPr>
                                  <w:tcW w:w="2895" w:type="dxa"/>
                                  <w:shd w:val="clear" w:color="auto" w:fill="auto"/>
                                </w:tcPr>
                                <w:p w:rsidR="00E81E4F" w:rsidRDefault="00E81E4F">
                                  <w:pPr>
                                    <w:spacing w:beforeAutospacing="1"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  <w:p w:rsidR="00E81E4F" w:rsidRDefault="0061288D" w:rsidP="0061288D">
                                  <w:pPr>
                                    <w:spacing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eastAsia="cs-CZ"/>
                                    </w:rPr>
                                    <w:t>PS180006911</w:t>
                                  </w:r>
                                </w:p>
                              </w:tc>
                            </w:tr>
                          </w:tbl>
                          <w:p w:rsidR="00BF5DAF" w:rsidRDefault="00BF5DA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93.55pt;margin-top:-19.8pt;width:144.75pt;height:55.6pt;z-index:2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2895" w:type="dxa"/>
                        <w:jc w:val="righ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95"/>
                      </w:tblGrid>
                      <w:tr w:rsidR="00E81E4F">
                        <w:trPr>
                          <w:jc w:val="right"/>
                        </w:trPr>
                        <w:tc>
                          <w:tcPr>
                            <w:tcW w:w="2895" w:type="dxa"/>
                            <w:shd w:val="clear" w:color="auto" w:fill="auto"/>
                          </w:tcPr>
                          <w:p w:rsidR="00E81E4F" w:rsidRDefault="00E81E4F">
                            <w:pPr>
                              <w:spacing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E81E4F" w:rsidRDefault="0061288D" w:rsidP="0061288D">
                            <w:pPr>
                              <w:spacing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eastAsia="cs-CZ"/>
                              </w:rPr>
                              <w:t>PS180006911</w:t>
                            </w:r>
                          </w:p>
                        </w:tc>
                      </w:tr>
                    </w:tbl>
                    <w:p w:rsidR="00BF5DAF" w:rsidRDefault="00BF5DAF"/>
                  </w:txbxContent>
                </v:textbox>
                <w10:wrap type="square" anchorx="margin"/>
              </v:shape>
            </w:pict>
          </mc:Fallback>
        </mc:AlternateContent>
      </w:r>
    </w:p>
    <w:p w:rsidR="00E81E4F" w:rsidRDefault="00E81E4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81E4F" w:rsidRDefault="006C127C" w:rsidP="006C127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ab/>
        <w:t xml:space="preserve">    </w:t>
      </w:r>
      <w:r w:rsidR="00B4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Z á p i s</w:t>
      </w:r>
    </w:p>
    <w:p w:rsidR="006C127C" w:rsidRDefault="00B47254" w:rsidP="006C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z 2. schůze podvýboru ústavně právního výboru</w:t>
      </w:r>
      <w:r w:rsidR="009E0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6C127C" w:rsidRDefault="00B47254" w:rsidP="006C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Poslanecké sněmovny Parlamentu ČR pro digitalizaci justice a e-Sbírku,</w:t>
      </w:r>
      <w:r w:rsidR="009E0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E81E4F" w:rsidRDefault="00B47254" w:rsidP="006C1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která se konala dne 24. dubna 2018 v budově Ministerstva spravedlnosti</w:t>
      </w:r>
      <w:r w:rsidR="009E0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ČR</w:t>
      </w:r>
    </w:p>
    <w:p w:rsidR="00E81E4F" w:rsidRDefault="00E81E4F" w:rsidP="009E0384">
      <w:pPr>
        <w:pBdr>
          <w:bottom w:val="single" w:sz="6" w:space="1" w:color="000001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E81E4F" w:rsidRDefault="00E81E4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tbl>
      <w:tblPr>
        <w:tblW w:w="9675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116"/>
      </w:tblGrid>
      <w:tr w:rsidR="00E81E4F">
        <w:trPr>
          <w:trHeight w:val="1095"/>
        </w:trPr>
        <w:tc>
          <w:tcPr>
            <w:tcW w:w="1559" w:type="dxa"/>
            <w:shd w:val="clear" w:color="auto" w:fill="auto"/>
          </w:tcPr>
          <w:p w:rsidR="00E81E4F" w:rsidRDefault="00B4725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cs-CZ"/>
              </w:rPr>
              <w:t>Přítomni:</w:t>
            </w:r>
          </w:p>
        </w:tc>
        <w:tc>
          <w:tcPr>
            <w:tcW w:w="8115" w:type="dxa"/>
            <w:shd w:val="clear" w:color="auto" w:fill="auto"/>
          </w:tcPr>
          <w:p w:rsidR="00E81E4F" w:rsidRDefault="00B47254">
            <w:pPr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posl. Mgr. </w:t>
            </w:r>
            <w:r w:rsidR="0057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 Mgr. Jakub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Michálek</w:t>
            </w:r>
          </w:p>
          <w:p w:rsidR="00E81E4F" w:rsidRDefault="00B47254">
            <w:pPr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posl. Marek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Benda</w:t>
            </w:r>
          </w:p>
          <w:p w:rsidR="00E81E4F" w:rsidRDefault="00B47254">
            <w:pPr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posl. MUDr. Věra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Procházková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81E4F" w:rsidRDefault="00B47254">
            <w:pPr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posl. Ing. Zuzana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Ožanová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81E4F" w:rsidRDefault="00E81E4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81E4F">
        <w:tc>
          <w:tcPr>
            <w:tcW w:w="1559" w:type="dxa"/>
            <w:shd w:val="clear" w:color="auto" w:fill="auto"/>
          </w:tcPr>
          <w:p w:rsidR="00E81E4F" w:rsidRDefault="00B4725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cs-CZ"/>
              </w:rPr>
              <w:t>Hosté:</w:t>
            </w:r>
          </w:p>
        </w:tc>
        <w:tc>
          <w:tcPr>
            <w:tcW w:w="8115" w:type="dxa"/>
            <w:shd w:val="clear" w:color="auto" w:fill="auto"/>
          </w:tcPr>
          <w:p w:rsidR="00E81E4F" w:rsidRDefault="00B47254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JUDr. Robert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Pelikán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Ph. D., ministr spravedlnosti </w:t>
            </w:r>
          </w:p>
          <w:p w:rsidR="00E81E4F" w:rsidRDefault="00B47254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JUDr. Jeroným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Tejc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náměstek ministra</w:t>
            </w:r>
          </w:p>
          <w:p w:rsidR="00B843DC" w:rsidRDefault="00B843DC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JUDr. Martin </w:t>
            </w:r>
            <w:r w:rsidRPr="00572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Richter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IT ministerstvo spravedlnosti</w:t>
            </w:r>
          </w:p>
          <w:p w:rsidR="00E81E4F" w:rsidRDefault="00B843DC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Dominik </w:t>
            </w:r>
            <w:r w:rsidRPr="00572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Divák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IT ministerstvo spravedlnosti</w:t>
            </w:r>
            <w:r w:rsidR="00B47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81E4F" w:rsidRDefault="00E81E4F">
            <w:pPr>
              <w:spacing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81E4F" w:rsidRDefault="00B47254">
      <w:pPr>
        <w:spacing w:beforeAutospacing="1"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Schůze podvýboru ústavně právního výboru Poslanecké sněmovny Parlamentu České republiky byla zahájena ve 13:00 hodin v budově Ministerstva spravedlnosti, Vyšehradská 424/16, Praha 2. Členové podvýboru </w:t>
      </w:r>
      <w:r w:rsidR="00C860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měli možnost </w:t>
      </w:r>
      <w:r w:rsidR="003B03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sledovat praktické ukázky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procesu digitalizace justice. První části systému elektronického a internetového soudnictví začaly fungovat již</w:t>
      </w:r>
      <w:r w:rsidR="00081D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před deseti lety.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Jedná se o reformu českého soudnictví</w:t>
      </w:r>
      <w:r w:rsidR="005E64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Digitalizace má za cíl vytvořit  uživatelsky jednoduchého prostředí, které soudům umožní rychlé a efektivní rozhodování bez zbytečných průtahů </w:t>
      </w:r>
      <w:r w:rsidR="007449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 nekonečných stohů spisů. </w:t>
      </w:r>
    </w:p>
    <w:p w:rsidR="00E81E4F" w:rsidRDefault="00B27365">
      <w:pPr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Přímo v budově </w:t>
      </w:r>
      <w:r w:rsidR="000F2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inisterstva</w:t>
      </w:r>
      <w:r w:rsidR="000F2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spravedlnosti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byli č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lenové podvýboru </w:t>
      </w:r>
      <w:r w:rsidR="00E368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seznámeni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s praktickou ukázkou ozvučení soudní síně. </w:t>
      </w:r>
      <w:r w:rsidR="00FB2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elký důraz</w:t>
      </w:r>
      <w:r w:rsidR="00FB2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je kladen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E32F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na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FB2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vhodné rozmístění mikrofonů</w:t>
      </w:r>
      <w:r w:rsidR="00E32F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a kvalitu nahrávání</w:t>
      </w:r>
      <w:r w:rsidR="00FA54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.</w:t>
      </w:r>
      <w:r w:rsidR="00FB2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AB74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Nejčastěji se používají pevně zabudované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mikrofon</w:t>
      </w:r>
      <w:r w:rsidR="00AB74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vybavené </w:t>
      </w:r>
      <w:r w:rsidR="008C03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mikrofonní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elektretovou vložk</w:t>
      </w:r>
      <w:r w:rsidR="008C03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o</w:t>
      </w:r>
      <w:r w:rsidR="003528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u, která umožní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sním</w:t>
      </w:r>
      <w:r w:rsidR="003528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at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zvuk i z větší dálky a hovořící osoba se na mikrofon nemusí soustředit. </w:t>
      </w:r>
      <w:r w:rsidR="003528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Aby kvalita záznamu byla co nej</w:t>
      </w:r>
      <w:r w:rsidR="001D37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větší</w:t>
      </w:r>
      <w:r w:rsidR="003528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, zaznamenává se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každý </w:t>
      </w:r>
      <w:r w:rsidR="000C09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připojený mikrofon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 samostatné zvukové stopě</w:t>
      </w:r>
      <w:r w:rsidR="00DC76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. 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S</w:t>
      </w:r>
      <w:r w:rsidR="00260D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ofistikovaný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software umož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ní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vkládat během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nahrávání časové značky s textovou poznámkou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, díky čemuž je </w:t>
      </w:r>
      <w:r w:rsidR="00260D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umožněno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pozdější snadné vyhledá</w:t>
      </w:r>
      <w:r w:rsidR="003F76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vá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ní a přes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ouvání</w:t>
      </w:r>
      <w:r w:rsidR="003F76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na určité místo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v</w:t>
      </w:r>
      <w:r w:rsidR="00B2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 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záznamu. Systém je </w:t>
      </w:r>
      <w:r w:rsidR="00AD4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automaticky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vybaven archivační funkcí s kompresí a </w:t>
      </w:r>
      <w:r w:rsidR="00AD4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umož</w:t>
      </w:r>
      <w:r w:rsidR="00B061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ňuje odeslání</w:t>
      </w:r>
      <w:r w:rsidR="00AD4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zvukov</w:t>
      </w:r>
      <w:r w:rsidR="00B061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ých</w:t>
      </w:r>
      <w:r w:rsidR="00AD4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soubor</w:t>
      </w:r>
      <w:r w:rsidR="00B061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ů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na archivační servery. Do archivačního serveru se lze snadno dostat pomocí webového prohlížeče</w:t>
      </w:r>
      <w:r w:rsidR="00260D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, což je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praktické </w:t>
      </w:r>
      <w:r w:rsidR="002D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zejména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pro laickou obsluhu, kter</w:t>
      </w:r>
      <w:r w:rsidR="000A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á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potřebuje vyhledat danou nahrávku nebo dokonce jen její část. Záznam jednání je</w:t>
      </w:r>
      <w:r w:rsidR="00A441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elektronicky</w:t>
      </w:r>
      <w:r w:rsidR="002D10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zpřístupněn</w:t>
      </w:r>
      <w:r w:rsidR="00A441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všem</w:t>
      </w:r>
      <w:r w:rsidR="00260D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zainteresovaným stranám.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</w:p>
    <w:p w:rsidR="00E81E4F" w:rsidRDefault="0050529F">
      <w:pPr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Dále se </w:t>
      </w:r>
      <w:r w:rsidR="00132C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č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lenové podvýboru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měli možnost seznámit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s</w:t>
      </w:r>
      <w:r w:rsidR="00CA70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 procesem elektronizace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insolvenční agendy. Elektronický insolvenční rejstřík je dalším krokem k modernější justici. V loňském roce získalo Ministerstvo spravedlnosti finanční prostředky z</w:t>
      </w:r>
      <w:r w:rsidR="00BC44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 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E</w:t>
      </w:r>
      <w:r w:rsidR="00BC44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vropské unie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pro projekt „eJustice 2020 – část eISIR“, které pomohou při realizaci elektronického Informačního systému insolvenčního rejstříku. </w:t>
      </w:r>
      <w:r w:rsidR="008D3619" w:rsidRPr="001075E4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Příspěvěk EU činí 177 milionů korun a státní rozpočet České republiky se na projektu </w:t>
      </w:r>
      <w:r w:rsidR="008D3619" w:rsidRPr="001075E4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lastRenderedPageBreak/>
        <w:t xml:space="preserve">spolupodílí částkou ve výši 42 milionů korun. </w:t>
      </w:r>
      <w:r w:rsidR="00B47254" w:rsidRPr="001075E4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Digitalizace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agendy přispěje k zefektivnění celé řady aspektů insolvenčního procesu a má být ukončena koncem roku 2019. V insolvenční agendě vzniká ročně </w:t>
      </w:r>
      <w:r w:rsidR="00E77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až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180 tisíc spisů. </w:t>
      </w:r>
      <w:r w:rsidR="002B3C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Nový </w:t>
      </w:r>
      <w:r w:rsidR="00447A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s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ystém umožní elektronické podání a </w:t>
      </w:r>
      <w:r w:rsidR="00674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elektronický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oběh dokumentů</w:t>
      </w:r>
      <w:r w:rsidR="00674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včetně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automatizac</w:t>
      </w:r>
      <w:r w:rsidR="00674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e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rutinních a opakujících se úkonů. Významným přínosem </w:t>
      </w:r>
      <w:r w:rsidR="003A27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bud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e </w:t>
      </w:r>
      <w:r w:rsidR="006C4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celkové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zrychlení průběhu insolvenčního řízení např</w:t>
      </w:r>
      <w:r w:rsidR="006C4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íklad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automatickou sumarizací všech přihlášených pohledávek, automatickým přepočtem výše zjištěných pohledávek na zajištěné a nezajištěné, sumarizací způsobu zpeněžení majetku a vyčíslením počtu zajištěných a nezajištěných věřitelů, apod. Od projetku se </w:t>
      </w:r>
      <w:r w:rsidR="006C4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mj.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očekává propojení s insolvenčními rejstříky dalších evropských zemí, zlepšení informačního servisu pro veřejnost o průběhu insolvenčního řízení a zajištění stability</w:t>
      </w:r>
      <w:r w:rsidR="006C4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,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funkčnosti celého systému. Elektronický insolvenční rejstřík bude primárně využíván vybranými soudy a insolvenčními správci. Dále bude také určen subjektům podnikajícím ve finanční či komerční sféře, orgánům veřejné moci, a</w:t>
      </w:r>
      <w:r w:rsidR="006C48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td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. </w:t>
      </w:r>
      <w:r w:rsidR="007515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Elektronizací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ISIR </w:t>
      </w:r>
      <w:r w:rsidR="007515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bude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naplněna druhá etapa projektu </w:t>
      </w:r>
      <w:r w:rsidR="007515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a </w:t>
      </w:r>
      <w:r w:rsidR="00B472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posílena dohledová činnost ministerstva.  </w:t>
      </w:r>
    </w:p>
    <w:p w:rsidR="00E81E4F" w:rsidRDefault="00E81E4F">
      <w:pPr>
        <w:spacing w:beforeAutospacing="1" w:after="0" w:line="240" w:lineRule="auto"/>
        <w:ind w:firstLine="6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</w:pPr>
    </w:p>
    <w:p w:rsidR="00E81E4F" w:rsidRDefault="00B47254">
      <w:pPr>
        <w:spacing w:beforeAutospacing="1"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/Schůze podvýboru byla ukončena ve 14:50 hodin./</w:t>
      </w:r>
    </w:p>
    <w:p w:rsidR="00E81E4F" w:rsidRDefault="00E81E4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E81E4F" w:rsidRDefault="00E81E4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E81E4F" w:rsidRDefault="00E81E4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E81E4F" w:rsidRDefault="00E8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4F" w:rsidRDefault="00B4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MUDr. Věra Procházková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et Mgr. Jakub Michálek </w:t>
      </w:r>
    </w:p>
    <w:p w:rsidR="00E81E4F" w:rsidRDefault="00B4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ověřovatelka podvýboru                                                   předseda podvýboru</w:t>
      </w:r>
    </w:p>
    <w:p w:rsidR="00E81E4F" w:rsidRDefault="00B4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E4F" w:rsidRDefault="00E81E4F"/>
    <w:sectPr w:rsidR="00E81E4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AF" w:rsidRDefault="00B47254">
      <w:pPr>
        <w:spacing w:after="0" w:line="240" w:lineRule="auto"/>
      </w:pPr>
      <w:r>
        <w:separator/>
      </w:r>
    </w:p>
  </w:endnote>
  <w:endnote w:type="continuationSeparator" w:id="0">
    <w:p w:rsidR="00BF5DAF" w:rsidRDefault="00B4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006405"/>
      <w:docPartObj>
        <w:docPartGallery w:val="Page Numbers (Bottom of Page)"/>
        <w:docPartUnique/>
      </w:docPartObj>
    </w:sdtPr>
    <w:sdtEndPr/>
    <w:sdtContent>
      <w:p w:rsidR="00E81E4F" w:rsidRDefault="00B47254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1288D">
          <w:rPr>
            <w:noProof/>
          </w:rPr>
          <w:t>1</w:t>
        </w:r>
        <w:r>
          <w:fldChar w:fldCharType="end"/>
        </w:r>
      </w:p>
    </w:sdtContent>
  </w:sdt>
  <w:p w:rsidR="00E81E4F" w:rsidRDefault="00E81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AF" w:rsidRDefault="00B47254">
      <w:pPr>
        <w:spacing w:after="0" w:line="240" w:lineRule="auto"/>
      </w:pPr>
      <w:r>
        <w:separator/>
      </w:r>
    </w:p>
  </w:footnote>
  <w:footnote w:type="continuationSeparator" w:id="0">
    <w:p w:rsidR="00BF5DAF" w:rsidRDefault="00B4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0E1"/>
    <w:multiLevelType w:val="multilevel"/>
    <w:tmpl w:val="629A2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7F2B40"/>
    <w:multiLevelType w:val="multilevel"/>
    <w:tmpl w:val="CF78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1363282"/>
    <w:multiLevelType w:val="multilevel"/>
    <w:tmpl w:val="B22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F"/>
    <w:rsid w:val="00081D18"/>
    <w:rsid w:val="000A6D1B"/>
    <w:rsid w:val="000C098D"/>
    <w:rsid w:val="000F2AE5"/>
    <w:rsid w:val="001005A9"/>
    <w:rsid w:val="001075E4"/>
    <w:rsid w:val="00132C51"/>
    <w:rsid w:val="001713A5"/>
    <w:rsid w:val="0017561A"/>
    <w:rsid w:val="001D3762"/>
    <w:rsid w:val="002177BF"/>
    <w:rsid w:val="0022617E"/>
    <w:rsid w:val="00260DC6"/>
    <w:rsid w:val="002B3C91"/>
    <w:rsid w:val="002D1014"/>
    <w:rsid w:val="00352850"/>
    <w:rsid w:val="003A278E"/>
    <w:rsid w:val="003B0302"/>
    <w:rsid w:val="003F7630"/>
    <w:rsid w:val="00447A21"/>
    <w:rsid w:val="004A439E"/>
    <w:rsid w:val="0050529F"/>
    <w:rsid w:val="00572EDD"/>
    <w:rsid w:val="005C30D4"/>
    <w:rsid w:val="005E6471"/>
    <w:rsid w:val="0061288D"/>
    <w:rsid w:val="00622D5B"/>
    <w:rsid w:val="006538A4"/>
    <w:rsid w:val="006740E7"/>
    <w:rsid w:val="006C127C"/>
    <w:rsid w:val="006C4861"/>
    <w:rsid w:val="00717244"/>
    <w:rsid w:val="007222FD"/>
    <w:rsid w:val="00744962"/>
    <w:rsid w:val="00751521"/>
    <w:rsid w:val="007A648C"/>
    <w:rsid w:val="008A2414"/>
    <w:rsid w:val="008C032D"/>
    <w:rsid w:val="008D008B"/>
    <w:rsid w:val="008D3619"/>
    <w:rsid w:val="008F0565"/>
    <w:rsid w:val="009E0384"/>
    <w:rsid w:val="00A441AB"/>
    <w:rsid w:val="00AB74CF"/>
    <w:rsid w:val="00AD4D95"/>
    <w:rsid w:val="00B06156"/>
    <w:rsid w:val="00B231F5"/>
    <w:rsid w:val="00B27365"/>
    <w:rsid w:val="00B47254"/>
    <w:rsid w:val="00B80CE2"/>
    <w:rsid w:val="00B843DC"/>
    <w:rsid w:val="00BC44F2"/>
    <w:rsid w:val="00BF5DAF"/>
    <w:rsid w:val="00C8600D"/>
    <w:rsid w:val="00CA703C"/>
    <w:rsid w:val="00D00A11"/>
    <w:rsid w:val="00D32A77"/>
    <w:rsid w:val="00DC760B"/>
    <w:rsid w:val="00E32F37"/>
    <w:rsid w:val="00E368D6"/>
    <w:rsid w:val="00E774DB"/>
    <w:rsid w:val="00E81E4F"/>
    <w:rsid w:val="00FA542A"/>
    <w:rsid w:val="00FB2034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8F49-37DD-405A-9C4B-1E5A38C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rsid w:val="00C1080E"/>
    <w:rPr>
      <w:rFonts w:ascii="Times New Roman" w:eastAsia="Calibri" w:hAnsi="Times New Roman" w:cs="Times New Roman"/>
      <w:sz w:val="24"/>
    </w:rPr>
  </w:style>
  <w:style w:type="character" w:customStyle="1" w:styleId="tunChar">
    <w:name w:val="tučné Char"/>
    <w:rsid w:val="00C1080E"/>
    <w:rPr>
      <w:rFonts w:ascii="Times New Roman" w:eastAsia="Calibri" w:hAnsi="Times New Roman" w:cs="Times New Roman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87E10"/>
  </w:style>
  <w:style w:type="character" w:customStyle="1" w:styleId="ZpatChar">
    <w:name w:val="Zápatí Char"/>
    <w:basedOn w:val="Standardnpsmoodstavce"/>
    <w:link w:val="Zpat"/>
    <w:uiPriority w:val="99"/>
    <w:rsid w:val="00687E10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33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imSu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Calibri" w:cs="Times New Roman"/>
      <w:b/>
    </w:rPr>
  </w:style>
  <w:style w:type="character" w:customStyle="1" w:styleId="ListLabel7">
    <w:name w:val="ListLabel 7"/>
    <w:rPr>
      <w:rFonts w:eastAsia="Calibri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3F1303"/>
    <w:pPr>
      <w:keepNext/>
      <w:widowControl w:val="0"/>
      <w:shd w:val="clear" w:color="auto" w:fill="FFFFFF"/>
      <w:spacing w:after="0" w:line="240" w:lineRule="auto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cs-CZ" w:bidi="hi-IN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690681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western">
    <w:name w:val="western"/>
    <w:basedOn w:val="Normln"/>
    <w:rsid w:val="00690681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western1">
    <w:name w:val="western1"/>
    <w:basedOn w:val="Normln"/>
    <w:rsid w:val="00690681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6A1D64"/>
    <w:pPr>
      <w:spacing w:after="0" w:line="36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06ED2"/>
    <w:pPr>
      <w:ind w:left="720"/>
      <w:contextualSpacing/>
    </w:pPr>
  </w:style>
  <w:style w:type="paragraph" w:customStyle="1" w:styleId="Odsazentlatextu">
    <w:name w:val="Odsazení těla textu"/>
    <w:basedOn w:val="Normln"/>
    <w:rsid w:val="003F1303"/>
    <w:pPr>
      <w:keepNext/>
      <w:widowControl w:val="0"/>
      <w:shd w:val="clear" w:color="auto" w:fill="FFFFFF"/>
      <w:tabs>
        <w:tab w:val="left" w:pos="567"/>
      </w:tabs>
      <w:spacing w:after="0" w:line="240" w:lineRule="auto"/>
      <w:ind w:left="567" w:hanging="567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cs-CZ" w:bidi="hi-IN"/>
    </w:rPr>
  </w:style>
  <w:style w:type="paragraph" w:customStyle="1" w:styleId="PS-slovanseznam">
    <w:name w:val="PS-číslovaný seznam"/>
    <w:basedOn w:val="Normln"/>
    <w:qFormat/>
    <w:rsid w:val="00C1080E"/>
    <w:pPr>
      <w:tabs>
        <w:tab w:val="left" w:pos="0"/>
      </w:tabs>
      <w:spacing w:after="0"/>
      <w:ind w:left="357" w:hanging="35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un">
    <w:name w:val="tučné"/>
    <w:basedOn w:val="PS-slovanseznam"/>
    <w:qFormat/>
    <w:rsid w:val="00C1080E"/>
    <w:pPr>
      <w:ind w:left="567" w:hanging="567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87E1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87E1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3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28CA-B315-4446-8513-5D1D762F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Zavodska Martina</dc:creator>
  <cp:lastModifiedBy>Vlna Jan</cp:lastModifiedBy>
  <cp:revision>5</cp:revision>
  <cp:lastPrinted>2018-04-27T12:34:00Z</cp:lastPrinted>
  <dcterms:created xsi:type="dcterms:W3CDTF">2018-04-27T12:35:00Z</dcterms:created>
  <dcterms:modified xsi:type="dcterms:W3CDTF">2018-05-23T15:20:00Z</dcterms:modified>
  <dc:language>cs-CZ</dc:language>
</cp:coreProperties>
</file>