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115EF" w14:textId="77777777" w:rsidR="00DB01B7" w:rsidRDefault="00DB01B7" w:rsidP="00FC63CD">
      <w:pPr>
        <w:jc w:val="center"/>
        <w:rPr>
          <w:b/>
          <w:sz w:val="32"/>
          <w:szCs w:val="32"/>
        </w:rPr>
      </w:pPr>
      <w:r w:rsidRPr="00655B0B">
        <w:rPr>
          <w:b/>
          <w:sz w:val="32"/>
          <w:szCs w:val="32"/>
        </w:rPr>
        <w:t>Zpráva o činnosti kontrolní rady</w:t>
      </w:r>
      <w:r w:rsidRPr="00655B0B">
        <w:rPr>
          <w:b/>
          <w:sz w:val="32"/>
          <w:szCs w:val="32"/>
        </w:rPr>
        <w:br/>
        <w:t xml:space="preserve">Grantové agentury České republiky </w:t>
      </w:r>
      <w:r>
        <w:rPr>
          <w:b/>
          <w:sz w:val="32"/>
          <w:szCs w:val="32"/>
        </w:rPr>
        <w:t xml:space="preserve">za období od října 2017 do </w:t>
      </w:r>
      <w:r w:rsidR="004038CD">
        <w:rPr>
          <w:b/>
          <w:sz w:val="32"/>
          <w:szCs w:val="32"/>
        </w:rPr>
        <w:t xml:space="preserve">září </w:t>
      </w:r>
      <w:r>
        <w:rPr>
          <w:b/>
          <w:sz w:val="32"/>
          <w:szCs w:val="32"/>
        </w:rPr>
        <w:t>2018</w:t>
      </w:r>
    </w:p>
    <w:p w14:paraId="617345AB" w14:textId="77777777" w:rsidR="00FC63CD" w:rsidRDefault="00FC63CD" w:rsidP="00FC63CD">
      <w:pPr>
        <w:jc w:val="center"/>
        <w:rPr>
          <w:b/>
          <w:sz w:val="32"/>
          <w:szCs w:val="32"/>
        </w:rPr>
      </w:pPr>
    </w:p>
    <w:p w14:paraId="1E4494C7" w14:textId="77777777" w:rsidR="00B146FF" w:rsidRPr="00FC63CD" w:rsidRDefault="00B146FF" w:rsidP="00FC63CD">
      <w:pPr>
        <w:jc w:val="center"/>
        <w:rPr>
          <w:b/>
          <w:sz w:val="32"/>
          <w:szCs w:val="32"/>
        </w:rPr>
      </w:pPr>
    </w:p>
    <w:p w14:paraId="480C6019" w14:textId="77777777" w:rsidR="00DB01B7" w:rsidRDefault="00DB01B7" w:rsidP="00DB01B7">
      <w:pPr>
        <w:spacing w:after="120"/>
        <w:contextualSpacing/>
      </w:pPr>
      <w:r>
        <w:tab/>
      </w:r>
      <w:r w:rsidR="004038CD">
        <w:rPr>
          <w:b/>
        </w:rPr>
        <w:t>Z</w:t>
      </w:r>
      <w:r w:rsidRPr="00EC0C15">
        <w:rPr>
          <w:b/>
        </w:rPr>
        <w:t xml:space="preserve">práva </w:t>
      </w:r>
      <w:r>
        <w:rPr>
          <w:b/>
        </w:rPr>
        <w:t xml:space="preserve">o činnosti </w:t>
      </w:r>
      <w:r w:rsidRPr="00EC0C15">
        <w:rPr>
          <w:b/>
        </w:rPr>
        <w:t>kontrolní rady</w:t>
      </w:r>
      <w:r w:rsidRPr="00EC0C15">
        <w:t xml:space="preserve"> (dále </w:t>
      </w:r>
      <w:r w:rsidRPr="008E6C23">
        <w:t xml:space="preserve">také KR GA ČR, nebo KR) </w:t>
      </w:r>
      <w:r w:rsidRPr="00EC0C15">
        <w:t xml:space="preserve">Grantové agentury České republiky (dále jen GA ČR) předkládaná Poslanecké sněmovně Parlamentu České republiky (dále jen PS PČR) shrnuje činnost KR za uplynulých </w:t>
      </w:r>
      <w:r w:rsidR="004038CD">
        <w:t xml:space="preserve">dvanáct </w:t>
      </w:r>
      <w:r w:rsidRPr="00EC0C15">
        <w:t>měsíců,</w:t>
      </w:r>
      <w:r>
        <w:t xml:space="preserve"> tedy za období od října 2017 do</w:t>
      </w:r>
      <w:r w:rsidRPr="00EC0C15">
        <w:t xml:space="preserve"> </w:t>
      </w:r>
      <w:r w:rsidR="004038CD">
        <w:t>konce září</w:t>
      </w:r>
      <w:r>
        <w:t xml:space="preserve"> 2018</w:t>
      </w:r>
      <w:r w:rsidRPr="00EC0C15">
        <w:t xml:space="preserve">. </w:t>
      </w:r>
      <w:r w:rsidR="00B7761C">
        <w:t>Byla</w:t>
      </w:r>
      <w:r>
        <w:t xml:space="preserve"> i tentokrát zachov</w:t>
      </w:r>
      <w:r w:rsidR="00B7761C">
        <w:t>ána</w:t>
      </w:r>
      <w:r w:rsidRPr="00EC0C15">
        <w:t xml:space="preserve"> struktur</w:t>
      </w:r>
      <w:r w:rsidR="004038CD">
        <w:t>a</w:t>
      </w:r>
      <w:r w:rsidRPr="00EC0C15">
        <w:t xml:space="preserve"> předchozí </w:t>
      </w:r>
      <w:r>
        <w:t xml:space="preserve">předkládané </w:t>
      </w:r>
      <w:r w:rsidRPr="00EC0C15">
        <w:t xml:space="preserve">Zprávy o činnosti KR z října </w:t>
      </w:r>
      <w:r>
        <w:t>2017</w:t>
      </w:r>
      <w:r w:rsidR="004038CD">
        <w:t>. Tato zpráva</w:t>
      </w:r>
      <w:r w:rsidRPr="00EC0C15">
        <w:t xml:space="preserve"> </w:t>
      </w:r>
      <w:r w:rsidR="004038CD">
        <w:t xml:space="preserve">je rozšířením a aktualizací dílčí zprávy předložené v dubnu 2018 a pokračuje </w:t>
      </w:r>
      <w:r w:rsidRPr="00EC0C15">
        <w:t>v</w:t>
      </w:r>
      <w:r>
        <w:t> </w:t>
      </w:r>
      <w:r w:rsidRPr="00EC0C15">
        <w:t>zap</w:t>
      </w:r>
      <w:r>
        <w:t>očaté struktuře včetně konkrétních údajů a jejich analýze</w:t>
      </w:r>
      <w:r w:rsidR="004038CD">
        <w:t>.</w:t>
      </w:r>
    </w:p>
    <w:p w14:paraId="1DCF75B4" w14:textId="77777777" w:rsidR="00DB01B7" w:rsidRPr="00EC0C15" w:rsidRDefault="00DB01B7" w:rsidP="00DB01B7">
      <w:pPr>
        <w:pStyle w:val="Nadpis1"/>
      </w:pPr>
      <w:r w:rsidRPr="00EC0C15">
        <w:t>Působnost, složení a zasedání KR</w:t>
      </w:r>
    </w:p>
    <w:p w14:paraId="3AE32CF8" w14:textId="77777777" w:rsidR="00DB01B7" w:rsidRPr="00B679DB" w:rsidRDefault="00DB01B7" w:rsidP="00DB01B7">
      <w:pPr>
        <w:spacing w:after="120"/>
      </w:pPr>
      <w:r w:rsidRPr="00EC0C15">
        <w:tab/>
        <w:t xml:space="preserve">KR je kontrolním orgánem, který byl ustanoven zákonem č. 110/2009 Sb., měnícím zákon č. 130/2002 Sb. </w:t>
      </w:r>
      <w:r w:rsidRPr="00B679DB">
        <w:t>o podpoře výzkumu, experimentálního vývoje a inovací z veřejných prostředků a o změně některých souvisejících zákonů, podle § 36, odst. 7 tohoto zákona. V rámci svého legislativního zadání KR GA ČR ve smyslu znění odst. 6, § 36 zákona č. 130/2002 Sb. kontroluje legitimitu a regulérnost rozdělování finančních prostředků GA ČR a hospodaření s majetkem státu, k němuž má GA ČR příslušnost hospodaření. Dále projednává stížnosti na postup poskytovatele při hodnocení návrhů grantových projektů, případn</w:t>
      </w:r>
      <w:r w:rsidR="00F061E5">
        <w:t>ě</w:t>
      </w:r>
      <w:r w:rsidRPr="00B679DB">
        <w:t xml:space="preserve"> dílčích nebo závěrečných zpráv o řešení projektu. Mimo to je KR orgánem, který může v důležitých případech předkládat stanoviska předsednictvu GA ČR.</w:t>
      </w:r>
    </w:p>
    <w:p w14:paraId="3840F0DF" w14:textId="77777777" w:rsidR="00DB01B7" w:rsidRDefault="00DB01B7" w:rsidP="00DB01B7">
      <w:pPr>
        <w:spacing w:after="120"/>
        <w:contextualSpacing/>
      </w:pPr>
    </w:p>
    <w:p w14:paraId="2E657F7E" w14:textId="77777777" w:rsidR="00DB01B7" w:rsidRDefault="00DB01B7" w:rsidP="00F03AE1">
      <w:pPr>
        <w:spacing w:after="120"/>
        <w:ind w:firstLine="708"/>
        <w:contextualSpacing/>
      </w:pPr>
      <w:r w:rsidRPr="0091006A">
        <w:t xml:space="preserve">Kontrolní rada má mít deset členů, které z řad odborníků jmenuje </w:t>
      </w:r>
      <w:r w:rsidR="004265FC">
        <w:t>PS PČR</w:t>
      </w:r>
      <w:r w:rsidRPr="0091006A">
        <w:t xml:space="preserve"> na návrh právnických osob zabývajících se výzkumem a vývojem. Funkční období členů KR GA ČR je čtyřleté s možností jmenování nejvýše na dvě období po sobě následující. KR GA ČR také předkládá dvakrát ročně </w:t>
      </w:r>
      <w:r w:rsidR="004265FC">
        <w:t>PS PČR</w:t>
      </w:r>
      <w:r w:rsidRPr="0091006A">
        <w:t xml:space="preserve"> výroční zp</w:t>
      </w:r>
      <w:r>
        <w:t xml:space="preserve">rávu o své činnosti (tzv. dílčí, průběžnou zprávu </w:t>
      </w:r>
      <w:r w:rsidRPr="0091006A">
        <w:t xml:space="preserve">v květnu a souhrnnou </w:t>
      </w:r>
      <w:r>
        <w:t xml:space="preserve">zprávu </w:t>
      </w:r>
      <w:r w:rsidRPr="0091006A">
        <w:t xml:space="preserve">v listopadu). </w:t>
      </w:r>
      <w:r w:rsidRPr="00EC0C15">
        <w:t xml:space="preserve"> </w:t>
      </w:r>
    </w:p>
    <w:p w14:paraId="06D8CE82" w14:textId="77777777" w:rsidR="00DB01B7" w:rsidRDefault="00DB01B7" w:rsidP="00DB01B7">
      <w:pPr>
        <w:spacing w:after="120"/>
        <w:contextualSpacing/>
      </w:pPr>
    </w:p>
    <w:p w14:paraId="4676FA83" w14:textId="10DBF7E2" w:rsidR="00DB01B7" w:rsidRPr="00F03AE1" w:rsidRDefault="00DB01B7" w:rsidP="00F03AE1">
      <w:pPr>
        <w:spacing w:after="120"/>
        <w:contextualSpacing/>
      </w:pPr>
      <w:r w:rsidRPr="0091006A">
        <w:t>V uplynulém období KR pracovala v téměř plném personálním obsazení</w:t>
      </w:r>
      <w:r w:rsidR="009E0DD8">
        <w:t xml:space="preserve"> devíti členů. K</w:t>
      </w:r>
      <w:r w:rsidR="009F7132">
        <w:t> 30.</w:t>
      </w:r>
      <w:r w:rsidR="009E0DD8">
        <w:t xml:space="preserve"> květnu</w:t>
      </w:r>
      <w:r w:rsidR="009F7132">
        <w:t xml:space="preserve"> 2018 se stal </w:t>
      </w:r>
      <w:r w:rsidR="009F7132" w:rsidRPr="0091006A">
        <w:t xml:space="preserve">prof. Ing. Rostislav Drochytka, CSc. </w:t>
      </w:r>
      <w:r w:rsidR="009F7132">
        <w:t>členem předsednictva GAČR</w:t>
      </w:r>
      <w:r>
        <w:t>,</w:t>
      </w:r>
      <w:r w:rsidR="009F7132">
        <w:t xml:space="preserve"> proto přestal být členem KR GAČR. Jeden člen</w:t>
      </w:r>
      <w:r w:rsidR="009E0DD8">
        <w:t xml:space="preserve"> KR začne pracovat od října 2018,</w:t>
      </w:r>
      <w:r w:rsidR="009E0DD8">
        <w:rPr>
          <w:rFonts w:eastAsia="Times New Roman"/>
          <w:lang w:eastAsia="cs-CZ"/>
        </w:rPr>
        <w:t xml:space="preserve"> d</w:t>
      </w:r>
      <w:r w:rsidRPr="007B1B2B">
        <w:rPr>
          <w:rFonts w:eastAsia="Times New Roman"/>
          <w:lang w:eastAsia="cs-CZ"/>
        </w:rPr>
        <w:t>o plného p</w:t>
      </w:r>
      <w:r>
        <w:rPr>
          <w:rFonts w:eastAsia="Times New Roman"/>
          <w:lang w:eastAsia="cs-CZ"/>
        </w:rPr>
        <w:t xml:space="preserve">očtu členů kontrolní rady </w:t>
      </w:r>
      <w:r w:rsidR="009F7132">
        <w:rPr>
          <w:rFonts w:eastAsia="Times New Roman"/>
          <w:lang w:eastAsia="cs-CZ"/>
        </w:rPr>
        <w:t xml:space="preserve">zbývá </w:t>
      </w:r>
      <w:r w:rsidRPr="007B1B2B">
        <w:rPr>
          <w:rFonts w:eastAsia="Times New Roman"/>
          <w:lang w:eastAsia="cs-CZ"/>
        </w:rPr>
        <w:t xml:space="preserve">jmenovat </w:t>
      </w:r>
      <w:r w:rsidR="00AE5489">
        <w:rPr>
          <w:rFonts w:eastAsia="Times New Roman"/>
          <w:lang w:eastAsia="cs-CZ"/>
        </w:rPr>
        <w:t xml:space="preserve">ještě </w:t>
      </w:r>
      <w:r w:rsidRPr="007B1B2B">
        <w:rPr>
          <w:rFonts w:eastAsia="Times New Roman"/>
          <w:lang w:eastAsia="cs-CZ"/>
        </w:rPr>
        <w:t>jednoho člena.</w:t>
      </w:r>
    </w:p>
    <w:p w14:paraId="5D7550A6" w14:textId="77777777" w:rsidR="00584778" w:rsidRPr="0091006A" w:rsidRDefault="00584778" w:rsidP="00584778">
      <w:pPr>
        <w:spacing w:after="120"/>
        <w:contextualSpacing/>
      </w:pPr>
    </w:p>
    <w:p w14:paraId="78A3E112" w14:textId="77777777" w:rsidR="00584778" w:rsidRPr="0091006A" w:rsidRDefault="00584778" w:rsidP="00584778">
      <w:pPr>
        <w:spacing w:after="120"/>
        <w:contextualSpacing/>
        <w:rPr>
          <w:b/>
        </w:rPr>
      </w:pPr>
      <w:r>
        <w:rPr>
          <w:b/>
        </w:rPr>
        <w:t>Složení KR k</w:t>
      </w:r>
      <w:r w:rsidR="004038CD">
        <w:rPr>
          <w:b/>
        </w:rPr>
        <w:t> </w:t>
      </w:r>
      <w:r>
        <w:rPr>
          <w:b/>
        </w:rPr>
        <w:t>3</w:t>
      </w:r>
      <w:r w:rsidR="004038CD">
        <w:rPr>
          <w:b/>
        </w:rPr>
        <w:t>0. 9</w:t>
      </w:r>
      <w:r w:rsidR="00873D6E">
        <w:rPr>
          <w:b/>
        </w:rPr>
        <w:t xml:space="preserve">. </w:t>
      </w:r>
      <w:r>
        <w:rPr>
          <w:b/>
        </w:rPr>
        <w:t>2018:</w:t>
      </w:r>
    </w:p>
    <w:p w14:paraId="41FE578A" w14:textId="77777777" w:rsidR="00584778" w:rsidRDefault="00584778" w:rsidP="00584778">
      <w:pPr>
        <w:spacing w:after="120"/>
        <w:contextualSpacing/>
      </w:pPr>
    </w:p>
    <w:p w14:paraId="55712777" w14:textId="77777777" w:rsidR="00584778" w:rsidRPr="00584778" w:rsidRDefault="00584778" w:rsidP="00584778">
      <w:pPr>
        <w:spacing w:after="120"/>
        <w:contextualSpacing/>
      </w:pPr>
      <w:r w:rsidRPr="0091006A">
        <w:t xml:space="preserve">prof. PhDr. Jana Geršlová, CSc. </w:t>
      </w:r>
      <w:r>
        <w:t>(předsedkyně)</w:t>
      </w:r>
    </w:p>
    <w:p w14:paraId="7103F45E" w14:textId="77777777" w:rsidR="00584778" w:rsidRPr="0091006A" w:rsidRDefault="00584778" w:rsidP="00584778">
      <w:pPr>
        <w:spacing w:after="120"/>
        <w:contextualSpacing/>
      </w:pPr>
      <w:r w:rsidRPr="0091006A">
        <w:t>prof. Ing. Mária Režňáková, CSc. (místopředsedkyně)</w:t>
      </w:r>
    </w:p>
    <w:p w14:paraId="3FC2A8D1" w14:textId="77777777" w:rsidR="00584778" w:rsidRPr="0091006A" w:rsidRDefault="00584778" w:rsidP="00584778">
      <w:pPr>
        <w:spacing w:after="120"/>
        <w:contextualSpacing/>
      </w:pPr>
      <w:r w:rsidRPr="0091006A">
        <w:t>prof. Mgr. Libor Jan, Ph.D.</w:t>
      </w:r>
    </w:p>
    <w:p w14:paraId="29D33EB5" w14:textId="77777777" w:rsidR="00584778" w:rsidRPr="0091006A" w:rsidRDefault="00584778" w:rsidP="00584778">
      <w:pPr>
        <w:spacing w:after="120"/>
        <w:contextualSpacing/>
      </w:pPr>
      <w:r>
        <w:t>prof</w:t>
      </w:r>
      <w:r w:rsidRPr="0091006A">
        <w:t xml:space="preserve">. JUDr. Věra Kalvodová, Dr. </w:t>
      </w:r>
    </w:p>
    <w:p w14:paraId="281964FF" w14:textId="77777777" w:rsidR="00584778" w:rsidRPr="0091006A" w:rsidRDefault="00584778" w:rsidP="00584778">
      <w:pPr>
        <w:spacing w:after="120"/>
        <w:contextualSpacing/>
      </w:pPr>
      <w:r w:rsidRPr="0091006A">
        <w:t xml:space="preserve">prof. Ing. Petr Konvalinka, CSc. </w:t>
      </w:r>
    </w:p>
    <w:p w14:paraId="714449CC" w14:textId="77777777" w:rsidR="00584778" w:rsidRPr="0091006A" w:rsidRDefault="00584778" w:rsidP="00584778">
      <w:pPr>
        <w:spacing w:after="120"/>
        <w:contextualSpacing/>
        <w:rPr>
          <w:rFonts w:eastAsia="Times New Roman"/>
          <w:lang w:eastAsia="cs-CZ"/>
        </w:rPr>
      </w:pPr>
      <w:r w:rsidRPr="0091006A">
        <w:rPr>
          <w:rFonts w:eastAsia="Times New Roman"/>
          <w:lang w:eastAsia="cs-CZ"/>
        </w:rPr>
        <w:t xml:space="preserve">prof. Ing. Jan Roda, CSc. </w:t>
      </w:r>
    </w:p>
    <w:p w14:paraId="63D01C08" w14:textId="77777777" w:rsidR="00584778" w:rsidRPr="0091006A" w:rsidRDefault="00A53CBE" w:rsidP="00584778">
      <w:pPr>
        <w:spacing w:after="120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prof</w:t>
      </w:r>
      <w:r w:rsidR="00584778" w:rsidRPr="0091006A">
        <w:rPr>
          <w:rFonts w:eastAsia="Times New Roman"/>
          <w:lang w:eastAsia="cs-CZ"/>
        </w:rPr>
        <w:t>. RNDr. Omar Šerý, Ph.D.</w:t>
      </w:r>
    </w:p>
    <w:p w14:paraId="41D041BD" w14:textId="77777777" w:rsidR="00584778" w:rsidRPr="0091006A" w:rsidRDefault="00584778" w:rsidP="00584778">
      <w:pPr>
        <w:spacing w:after="120"/>
        <w:contextualSpacing/>
      </w:pPr>
      <w:r w:rsidRPr="0091006A">
        <w:t>Ing. Mirka Wildmannová, Ph.D.</w:t>
      </w:r>
    </w:p>
    <w:p w14:paraId="6D76B989" w14:textId="77777777" w:rsidR="00DB01B7" w:rsidRPr="00AC19F9" w:rsidRDefault="00DB01B7" w:rsidP="00DB01B7">
      <w:pPr>
        <w:spacing w:after="120"/>
        <w:rPr>
          <w:rFonts w:eastAsia="Times New Roman"/>
          <w:lang w:eastAsia="cs-CZ"/>
        </w:rPr>
      </w:pPr>
    </w:p>
    <w:p w14:paraId="7EB8C0B7" w14:textId="61C163CE" w:rsidR="00331BA2" w:rsidRDefault="00256C80" w:rsidP="00F03AE1">
      <w:pPr>
        <w:spacing w:after="120"/>
        <w:ind w:firstLine="709"/>
        <w:rPr>
          <w:rFonts w:eastAsia="Arial"/>
        </w:rPr>
      </w:pPr>
      <w:r w:rsidRPr="00EC0C15">
        <w:t xml:space="preserve">Ve sledovaném časovém období uskutečnila KR celkem </w:t>
      </w:r>
      <w:r w:rsidR="009E0DD8">
        <w:t>šest</w:t>
      </w:r>
      <w:r w:rsidRPr="00256C80">
        <w:rPr>
          <w:color w:val="FF0000"/>
        </w:rPr>
        <w:t xml:space="preserve"> </w:t>
      </w:r>
      <w:r w:rsidRPr="00EC0C15">
        <w:t xml:space="preserve">zasedání – konkrétně v termínech </w:t>
      </w:r>
      <w:r>
        <w:t xml:space="preserve">19. října 2017, 13. prosince 2017, </w:t>
      </w:r>
      <w:r w:rsidR="004E25EA">
        <w:t>30. ledna 2018</w:t>
      </w:r>
      <w:r w:rsidR="009E0DD8">
        <w:rPr>
          <w:iCs/>
        </w:rPr>
        <w:t>,</w:t>
      </w:r>
      <w:r w:rsidRPr="00EC0C15">
        <w:rPr>
          <w:iCs/>
        </w:rPr>
        <w:t xml:space="preserve"> </w:t>
      </w:r>
      <w:r w:rsidR="009E0DD8">
        <w:rPr>
          <w:rFonts w:cs="Times New Roman"/>
          <w:iCs/>
        </w:rPr>
        <w:t>17. dubna 2018, 31. května 2018</w:t>
      </w:r>
      <w:r w:rsidR="00331BA2">
        <w:rPr>
          <w:rFonts w:cs="Times New Roman"/>
          <w:iCs/>
        </w:rPr>
        <w:t xml:space="preserve"> a </w:t>
      </w:r>
      <w:r w:rsidR="009E0DD8">
        <w:rPr>
          <w:rFonts w:cs="Times New Roman"/>
          <w:iCs/>
        </w:rPr>
        <w:t xml:space="preserve">19. </w:t>
      </w:r>
      <w:r w:rsidR="00331BA2">
        <w:rPr>
          <w:rFonts w:cs="Times New Roman"/>
          <w:iCs/>
        </w:rPr>
        <w:t>září</w:t>
      </w:r>
      <w:r w:rsidR="009E0DD8">
        <w:rPr>
          <w:rFonts w:cs="Times New Roman"/>
          <w:iCs/>
        </w:rPr>
        <w:t xml:space="preserve"> 2018</w:t>
      </w:r>
      <w:r w:rsidR="00331BA2">
        <w:rPr>
          <w:rFonts w:cs="Times New Roman"/>
          <w:iCs/>
        </w:rPr>
        <w:t xml:space="preserve">. </w:t>
      </w:r>
      <w:r w:rsidR="004E25EA">
        <w:t xml:space="preserve">Jednání KR probíhala </w:t>
      </w:r>
      <w:r w:rsidRPr="00EC0C15">
        <w:t>v prostorách sídla GA ČR na Evropské třídě v Praze 6</w:t>
      </w:r>
      <w:r w:rsidR="00331BA2">
        <w:t xml:space="preserve"> (s výjimkou výjezdního zasedání 17. dubna 2018)</w:t>
      </w:r>
      <w:r w:rsidR="00331BA2">
        <w:rPr>
          <w:rFonts w:eastAsia="Arial"/>
        </w:rPr>
        <w:t>. Mimo tato zasedání jsou členové KR pravidelně v kontaktu formou elektronické komunikace.</w:t>
      </w:r>
    </w:p>
    <w:p w14:paraId="1CEF4FDC" w14:textId="0F7CB923" w:rsidR="00DB01B7" w:rsidRPr="001C6705" w:rsidRDefault="004E25EA" w:rsidP="00F03AE1">
      <w:pPr>
        <w:spacing w:after="120"/>
        <w:ind w:firstLine="709"/>
        <w:rPr>
          <w:rFonts w:eastAsia="Arial"/>
        </w:rPr>
      </w:pPr>
      <w:r>
        <w:rPr>
          <w:rFonts w:eastAsia="Arial"/>
        </w:rPr>
        <w:t>V</w:t>
      </w:r>
      <w:r w:rsidRPr="0091006A">
        <w:rPr>
          <w:rFonts w:eastAsia="Arial"/>
        </w:rPr>
        <w:t>e spolupráci s úsekem kontroly Kanceláře GA</w:t>
      </w:r>
      <w:r w:rsidR="004265FC">
        <w:rPr>
          <w:rFonts w:eastAsia="Arial"/>
        </w:rPr>
        <w:t xml:space="preserve"> </w:t>
      </w:r>
      <w:r w:rsidRPr="0091006A">
        <w:rPr>
          <w:rFonts w:eastAsia="Arial"/>
        </w:rPr>
        <w:t>ČR vykonávala KR GA ČR dohled nad činností celé GA ČR. Zasedání K</w:t>
      </w:r>
      <w:r>
        <w:rPr>
          <w:rFonts w:eastAsia="Arial"/>
        </w:rPr>
        <w:t>R GA</w:t>
      </w:r>
      <w:r w:rsidR="004265FC">
        <w:rPr>
          <w:rFonts w:eastAsia="Arial"/>
        </w:rPr>
        <w:t xml:space="preserve"> </w:t>
      </w:r>
      <w:r>
        <w:rPr>
          <w:rFonts w:eastAsia="Arial"/>
        </w:rPr>
        <w:t xml:space="preserve">ČR se pravidelně účastnila </w:t>
      </w:r>
      <w:r w:rsidRPr="0091006A">
        <w:rPr>
          <w:rFonts w:eastAsia="Arial"/>
        </w:rPr>
        <w:t xml:space="preserve">předsedkyně GA ČR </w:t>
      </w:r>
      <w:r w:rsidRPr="0091006A">
        <w:t>RNDr. Alice Valkárová, DrSc.</w:t>
      </w:r>
      <w:r w:rsidRPr="0091006A">
        <w:rPr>
          <w:rFonts w:eastAsia="Arial"/>
        </w:rPr>
        <w:t xml:space="preserve"> Dále byla na zasedáních přítomna ředitelka Kanceláře GA ČR Ing. Lada Knetlová a vedoucí úseku kontroly Ing. Martina Vondráčková. Předsedkyně GA ČR a ředitelka Kanceláře GA ČR podávaly informace o aktuální činnosti GA ČR; zároveň obdržely od členů KR přímé informace o zjištěných problémech jak ve finanční, tak i procesní oblasti systému grantové podpory základního výzkumu. </w:t>
      </w:r>
      <w:r>
        <w:rPr>
          <w:rFonts w:eastAsia="Arial"/>
        </w:rPr>
        <w:t>Na druhou stranu se předsedkyně KR</w:t>
      </w:r>
      <w:r w:rsidRPr="0091006A">
        <w:rPr>
          <w:rFonts w:eastAsia="Arial"/>
        </w:rPr>
        <w:t xml:space="preserve"> GA ČR pravidelně zúčastňoval</w:t>
      </w:r>
      <w:r w:rsidR="00331BA2">
        <w:rPr>
          <w:rFonts w:eastAsia="Arial"/>
        </w:rPr>
        <w:t>a</w:t>
      </w:r>
      <w:r w:rsidRPr="0091006A">
        <w:rPr>
          <w:rFonts w:eastAsia="Arial"/>
        </w:rPr>
        <w:t xml:space="preserve"> zasedání předsednictva GA ČR</w:t>
      </w:r>
      <w:r w:rsidR="001C6705">
        <w:rPr>
          <w:rFonts w:eastAsia="Arial"/>
        </w:rPr>
        <w:t xml:space="preserve"> (včetně vystoupení na rozšířeném výjezdním zasedání předsednictva v listopadu 2017)</w:t>
      </w:r>
      <w:r w:rsidRPr="0091006A">
        <w:rPr>
          <w:rFonts w:eastAsia="Arial"/>
        </w:rPr>
        <w:t xml:space="preserve">. </w:t>
      </w:r>
      <w:r w:rsidR="001C6705">
        <w:rPr>
          <w:rFonts w:eastAsia="Arial"/>
        </w:rPr>
        <w:t xml:space="preserve">Vzájemná informovanost obou stran mezi vedením GA ČR a KR (a naopak) přispívá k řešení aktuální situace </w:t>
      </w:r>
      <w:r w:rsidR="00D96E17">
        <w:rPr>
          <w:rFonts w:eastAsia="Arial"/>
        </w:rPr>
        <w:br/>
      </w:r>
      <w:r w:rsidR="001C6705">
        <w:rPr>
          <w:rFonts w:eastAsia="Arial"/>
        </w:rPr>
        <w:t>a pomáhá řešení případných problémů.</w:t>
      </w:r>
    </w:p>
    <w:p w14:paraId="23D7685D" w14:textId="77777777" w:rsidR="001C6705" w:rsidRPr="0091006A" w:rsidRDefault="001C6705" w:rsidP="001C6705">
      <w:pPr>
        <w:pStyle w:val="Nadpis1"/>
      </w:pPr>
      <w:r w:rsidRPr="0091006A">
        <w:t>Dohled nad činností a kontrola rozdělování finančních prostředků</w:t>
      </w:r>
    </w:p>
    <w:p w14:paraId="19CB8F87" w14:textId="77777777" w:rsidR="001C6705" w:rsidRPr="0091006A" w:rsidRDefault="001C6705" w:rsidP="001C6705">
      <w:pPr>
        <w:spacing w:after="120"/>
        <w:rPr>
          <w:rFonts w:eastAsia="Arial"/>
        </w:rPr>
      </w:pPr>
      <w:r w:rsidRPr="0091006A">
        <w:tab/>
      </w:r>
      <w:r>
        <w:t xml:space="preserve">Podporované projekty </w:t>
      </w:r>
      <w:r w:rsidRPr="0091006A">
        <w:t>GA ČR</w:t>
      </w:r>
      <w:r>
        <w:t xml:space="preserve"> se dělí do pěti skupin, tak jako v předchozích obdobích:</w:t>
      </w:r>
    </w:p>
    <w:p w14:paraId="314DFC6B" w14:textId="70418DCF" w:rsidR="001C6705" w:rsidRPr="0091006A" w:rsidRDefault="001C6705" w:rsidP="001C6705">
      <w:pPr>
        <w:pStyle w:val="Odstavecseseznamem"/>
        <w:numPr>
          <w:ilvl w:val="0"/>
          <w:numId w:val="1"/>
        </w:numPr>
        <w:spacing w:after="120"/>
        <w:contextualSpacing w:val="0"/>
      </w:pPr>
      <w:r w:rsidRPr="0091006A">
        <w:rPr>
          <w:b/>
        </w:rPr>
        <w:t>standardní grantové projekty</w:t>
      </w:r>
      <w:r w:rsidRPr="0091006A">
        <w:t xml:space="preserve"> (podpora projektů </w:t>
      </w:r>
      <w:r w:rsidRPr="001C6705">
        <w:rPr>
          <w:b/>
        </w:rPr>
        <w:t>základního výzkumu</w:t>
      </w:r>
      <w:r w:rsidRPr="0091006A">
        <w:t xml:space="preserve"> bez dalších omezujících podmínek, tento typ projektů podporuje GA</w:t>
      </w:r>
      <w:r w:rsidR="00462D9F">
        <w:t xml:space="preserve"> </w:t>
      </w:r>
      <w:r w:rsidRPr="0091006A">
        <w:t xml:space="preserve">ČR od svého vzniku, od roku 1993). Téma projektu volí navrhovatel, délka trvání projektů je </w:t>
      </w:r>
      <w:r w:rsidRPr="0091006A">
        <w:lastRenderedPageBreak/>
        <w:t xml:space="preserve">zpravidla 3 roky. Návrh je přijat k řešení, pokud splňuje všechny podmínky definované zákonem o podpoře výzkumu, experimentálního vývoje a inovací </w:t>
      </w:r>
      <w:r w:rsidR="00AB42C4">
        <w:br/>
      </w:r>
      <w:r w:rsidRPr="0091006A">
        <w:t>a podmínek definovaných v zadávací dokumentaci. Při posuzování a hodnocení návrhů projektů jsou hlavními kritérii originalita a kvalita návrhu projektu, dále odborné předpoklady navrhovatele dosáhnout deklarovaného cíle a také přiměřenost nákladů</w:t>
      </w:r>
      <w:r>
        <w:t xml:space="preserve"> (toto kritérium bylo dříve dosti opomíjeným momentem, avšak v posledních několika letech se – i díky důsledné péči </w:t>
      </w:r>
      <w:r w:rsidR="005F0EFE">
        <w:t>GA ČR a jeho kontrolních orgánů – stalo zcela přirozenou součástí hodnocení)</w:t>
      </w:r>
      <w:r w:rsidRPr="0091006A">
        <w:t xml:space="preserve">. Standardní projekty tvoří </w:t>
      </w:r>
      <w:r w:rsidR="003525A7">
        <w:t xml:space="preserve">stále </w:t>
      </w:r>
      <w:r w:rsidRPr="0091006A">
        <w:t>nejpočetnější skupinu podporovaných grantových projektů základního výzkumu.</w:t>
      </w:r>
    </w:p>
    <w:p w14:paraId="17D96E90" w14:textId="73A1D8CC" w:rsidR="001C6705" w:rsidRPr="0091006A" w:rsidRDefault="001C6705" w:rsidP="001C6705">
      <w:pPr>
        <w:pStyle w:val="Odstavecseseznamem"/>
        <w:numPr>
          <w:ilvl w:val="0"/>
          <w:numId w:val="1"/>
        </w:numPr>
        <w:spacing w:after="120"/>
        <w:contextualSpacing w:val="0"/>
      </w:pPr>
      <w:r w:rsidRPr="0091006A">
        <w:rPr>
          <w:b/>
        </w:rPr>
        <w:t>juniorské grantové projekty</w:t>
      </w:r>
      <w:r w:rsidRPr="0091006A">
        <w:t xml:space="preserve"> na podporu mladých a začínajících vědeckých pracovníků </w:t>
      </w:r>
      <w:r w:rsidR="001F7A48" w:rsidRPr="0091006A">
        <w:t>j</w:t>
      </w:r>
      <w:r w:rsidR="001F7A48">
        <w:t>sou</w:t>
      </w:r>
      <w:r w:rsidR="001F7A48" w:rsidRPr="0091006A">
        <w:t xml:space="preserve"> </w:t>
      </w:r>
      <w:r w:rsidR="003525A7">
        <w:t xml:space="preserve">stále ještě </w:t>
      </w:r>
      <w:r w:rsidRPr="0091006A">
        <w:t>poměrně novou kategorií soutěže, vyhlášena byla poprvé v roce 2014. Návrhy mohou být ze všech oblastí základního výzkumu, délka trvání projektu je maximálně 3 roky. Tento typ grantů</w:t>
      </w:r>
      <w:r w:rsidR="001F7A48">
        <w:t xml:space="preserve"> </w:t>
      </w:r>
      <w:r w:rsidRPr="0091006A">
        <w:t xml:space="preserve">by měl vést především k budování vědeckých týmů </w:t>
      </w:r>
      <w:r w:rsidR="00F124D2">
        <w:t>pod vedením mladých odborníků</w:t>
      </w:r>
      <w:r w:rsidR="00F124D2" w:rsidRPr="0091006A">
        <w:t xml:space="preserve"> </w:t>
      </w:r>
      <w:r w:rsidR="00F124D2">
        <w:t xml:space="preserve">s úspěchem v mezinárodním měřítku (např. ERC) </w:t>
      </w:r>
      <w:r w:rsidRPr="0091006A">
        <w:t>vybavených patřičným vědeckým zázemím pro řešení základního výzkumu mezinárodního významu.</w:t>
      </w:r>
      <w:r w:rsidR="00A53CBE">
        <w:t xml:space="preserve"> Prozatím se tento trend potvrzuje.</w:t>
      </w:r>
    </w:p>
    <w:p w14:paraId="0B734E0D" w14:textId="339AAA94" w:rsidR="001C6705" w:rsidRPr="0091006A" w:rsidRDefault="001C6705" w:rsidP="001C6705">
      <w:pPr>
        <w:pStyle w:val="Odstavecseseznamem"/>
        <w:numPr>
          <w:ilvl w:val="0"/>
          <w:numId w:val="1"/>
        </w:numPr>
        <w:spacing w:after="120"/>
        <w:contextualSpacing w:val="0"/>
      </w:pPr>
      <w:r w:rsidRPr="0091006A">
        <w:rPr>
          <w:b/>
        </w:rPr>
        <w:t>postdoktorské projekty</w:t>
      </w:r>
      <w:r w:rsidRPr="0091006A">
        <w:t xml:space="preserve"> na podporu mladých a začínajících vědeckých pracovníků (</w:t>
      </w:r>
      <w:r w:rsidR="00F124D2">
        <w:t>ukončeny v roce 2018 poslední projekty, které byly přerušeny z důvodu mateřské nebo rodičovské dovolené)</w:t>
      </w:r>
      <w:r w:rsidRPr="0091006A">
        <w:t>.</w:t>
      </w:r>
    </w:p>
    <w:p w14:paraId="618603FD" w14:textId="77777777" w:rsidR="001C6705" w:rsidRPr="0091006A" w:rsidRDefault="001C6705" w:rsidP="001C6705">
      <w:pPr>
        <w:pStyle w:val="Odstavecseseznamem"/>
        <w:numPr>
          <w:ilvl w:val="0"/>
          <w:numId w:val="1"/>
        </w:numPr>
        <w:spacing w:after="120"/>
        <w:contextualSpacing w:val="0"/>
      </w:pPr>
      <w:r w:rsidRPr="0091006A">
        <w:rPr>
          <w:b/>
        </w:rPr>
        <w:t>mezinárodní grantové projekty</w:t>
      </w:r>
      <w:r w:rsidRPr="0091006A">
        <w:t xml:space="preserve"> určeny na: </w:t>
      </w:r>
    </w:p>
    <w:p w14:paraId="6D53F4BF" w14:textId="77777777" w:rsidR="001C6705" w:rsidRPr="0091006A" w:rsidRDefault="001C6705" w:rsidP="001C6705">
      <w:pPr>
        <w:pStyle w:val="Odstavecseseznamem"/>
        <w:numPr>
          <w:ilvl w:val="1"/>
          <w:numId w:val="1"/>
        </w:numPr>
        <w:spacing w:after="120"/>
        <w:contextualSpacing w:val="0"/>
      </w:pPr>
      <w:r w:rsidRPr="0091006A">
        <w:t>podporu projektů základního výzkumu na základě bilaterálních dohod GA ČR se zahraničními grantovými institucemi, zejména s Deutsche Forschungsgemeinschaft (DFG), National Science Council of Taiwan (MOST) a National Research Foundation of Korea (NRF);</w:t>
      </w:r>
    </w:p>
    <w:p w14:paraId="17761C01" w14:textId="77777777" w:rsidR="006B2301" w:rsidRDefault="001C6705" w:rsidP="001C6705">
      <w:pPr>
        <w:pStyle w:val="Odstavecseseznamem"/>
        <w:numPr>
          <w:ilvl w:val="1"/>
          <w:numId w:val="1"/>
        </w:numPr>
        <w:spacing w:after="120"/>
        <w:contextualSpacing w:val="0"/>
      </w:pPr>
      <w:r w:rsidRPr="0091006A">
        <w:t>podporu projektů základního výzkumu hodnocených na principu „</w:t>
      </w:r>
      <w:r w:rsidRPr="0091006A">
        <w:rPr>
          <w:i/>
        </w:rPr>
        <w:t>Lead Agency</w:t>
      </w:r>
      <w:r w:rsidRPr="0091006A">
        <w:t xml:space="preserve">“ (LA), ve spolupráci s Fonds zur Förderung der wissenschaftlichen Forschung (FWF), Rakousko. </w:t>
      </w:r>
    </w:p>
    <w:p w14:paraId="48E13C8C" w14:textId="19777953" w:rsidR="001C6705" w:rsidRPr="0091006A" w:rsidRDefault="001C6705" w:rsidP="006B2301">
      <w:pPr>
        <w:pStyle w:val="Odstavecseseznamem"/>
        <w:spacing w:after="120"/>
        <w:ind w:left="1440"/>
        <w:contextualSpacing w:val="0"/>
      </w:pPr>
      <w:r w:rsidRPr="0091006A">
        <w:t>Podmínkou poskytnutí podpory mezinárodnímu projektu ze strany GA</w:t>
      </w:r>
      <w:r w:rsidR="00462D9F">
        <w:t xml:space="preserve"> </w:t>
      </w:r>
      <w:r w:rsidRPr="0091006A">
        <w:t xml:space="preserve">ČR je jeho schválení oběma národními poskytovateli. </w:t>
      </w:r>
    </w:p>
    <w:p w14:paraId="03DC95C3" w14:textId="77777777" w:rsidR="00A53CBE" w:rsidRDefault="001C6705" w:rsidP="00FC63CD">
      <w:pPr>
        <w:pStyle w:val="Odstavecseseznamem"/>
        <w:numPr>
          <w:ilvl w:val="0"/>
          <w:numId w:val="1"/>
        </w:numPr>
        <w:spacing w:after="120"/>
        <w:contextualSpacing w:val="0"/>
      </w:pPr>
      <w:r w:rsidRPr="0091006A">
        <w:rPr>
          <w:b/>
        </w:rPr>
        <w:t>projekty na podporu excelence</w:t>
      </w:r>
      <w:r w:rsidRPr="0091006A">
        <w:t xml:space="preserve"> v základním výzkumu. Účelem poskytování podpory na tento typ projektu je podpora multidisciplinárních projektů špičkového základního výzkumu pro několik vědeckých týmů, které nelze financovat v rámci standardních grantových projektů GA ČR (pouze v minulosti udělené projekty, nové soutěže se již nevyhlašují).</w:t>
      </w:r>
    </w:p>
    <w:p w14:paraId="7C40B1F5" w14:textId="3C75048A" w:rsidR="001C6705" w:rsidRPr="0091006A" w:rsidRDefault="00A53CBE" w:rsidP="001C6705">
      <w:pPr>
        <w:spacing w:after="120"/>
      </w:pPr>
      <w:r>
        <w:t xml:space="preserve">Vzhledem k tomu, že úkolem KR je kontrolní činnost zaměřená na </w:t>
      </w:r>
      <w:r w:rsidRPr="00F03AE1">
        <w:rPr>
          <w:b/>
        </w:rPr>
        <w:t xml:space="preserve">dodržování </w:t>
      </w:r>
      <w:r w:rsidR="007C290C" w:rsidRPr="00F03AE1">
        <w:rPr>
          <w:b/>
        </w:rPr>
        <w:t xml:space="preserve">zadávací </w:t>
      </w:r>
      <w:r w:rsidRPr="00F03AE1">
        <w:rPr>
          <w:b/>
        </w:rPr>
        <w:t>dokumentace a pravidel soutěže</w:t>
      </w:r>
      <w:r w:rsidR="004F1EA5" w:rsidRPr="00F03AE1">
        <w:rPr>
          <w:b/>
        </w:rPr>
        <w:t xml:space="preserve"> </w:t>
      </w:r>
      <w:r w:rsidR="004F1EA5">
        <w:t>GA ČR</w:t>
      </w:r>
      <w:r>
        <w:t xml:space="preserve">, </w:t>
      </w:r>
      <w:r w:rsidR="004F1EA5">
        <w:t xml:space="preserve">byly rozděleny jednotlivé vědní oblasti a panely nikoliv podle odborností členů KR (tu zajišťuje činnost panelů </w:t>
      </w:r>
      <w:r w:rsidR="00AB42C4">
        <w:br/>
      </w:r>
      <w:r w:rsidR="004F1EA5">
        <w:t>a oborových komisí)</w:t>
      </w:r>
      <w:r w:rsidR="008E1C93">
        <w:t>, ale podle vnitřní dohody členů KR</w:t>
      </w:r>
      <w:r w:rsidR="004F1EA5">
        <w:t xml:space="preserve">. </w:t>
      </w:r>
      <w:r w:rsidR="001C6705" w:rsidRPr="0091006A">
        <w:t xml:space="preserve">K zajištění kontrolní činnosti KR GA ČR </w:t>
      </w:r>
      <w:r w:rsidR="004F1EA5">
        <w:t xml:space="preserve">jsou </w:t>
      </w:r>
      <w:r w:rsidR="008E1C93">
        <w:t xml:space="preserve">proto </w:t>
      </w:r>
      <w:r w:rsidR="004F1EA5">
        <w:t xml:space="preserve">jednotlivé vědní </w:t>
      </w:r>
      <w:r w:rsidR="007257C2">
        <w:t xml:space="preserve">oblasti </w:t>
      </w:r>
      <w:r w:rsidR="00DD473F">
        <w:t xml:space="preserve">přiděleny </w:t>
      </w:r>
      <w:r w:rsidR="004F1EA5">
        <w:t>takto</w:t>
      </w:r>
      <w:r w:rsidR="001C6705" w:rsidRPr="0091006A">
        <w:t>:</w:t>
      </w:r>
    </w:p>
    <w:p w14:paraId="58F80661" w14:textId="77777777" w:rsidR="001C6705" w:rsidRPr="0091006A" w:rsidRDefault="001C6705" w:rsidP="001C6705">
      <w:pPr>
        <w:spacing w:after="120"/>
        <w:ind w:left="708"/>
        <w:contextualSpacing/>
        <w:jc w:val="left"/>
      </w:pPr>
      <w:r w:rsidRPr="0091006A">
        <w:t xml:space="preserve">- úsek technických věd: </w:t>
      </w:r>
      <w:r w:rsidRPr="0091006A">
        <w:tab/>
      </w:r>
      <w:r w:rsidRPr="0091006A">
        <w:tab/>
      </w:r>
      <w:r w:rsidRPr="0091006A">
        <w:tab/>
      </w:r>
      <w:r w:rsidRPr="0091006A">
        <w:br/>
      </w:r>
      <w:r w:rsidRPr="0091006A">
        <w:tab/>
        <w:t>prof. Ing. Rostislav Drochytka, CSc.</w:t>
      </w:r>
      <w:r w:rsidR="00331BA2">
        <w:t xml:space="preserve"> (do 29. 5. 2018)</w:t>
      </w:r>
      <w:r w:rsidRPr="0091006A">
        <w:br/>
      </w:r>
      <w:r w:rsidRPr="0091006A">
        <w:tab/>
        <w:t>prof. Ing. Petr Konvalinka, CSc.</w:t>
      </w:r>
    </w:p>
    <w:p w14:paraId="3E19932D" w14:textId="77777777" w:rsidR="001C6705" w:rsidRPr="0091006A" w:rsidRDefault="001C6705" w:rsidP="001C6705">
      <w:pPr>
        <w:spacing w:after="120"/>
        <w:ind w:left="708"/>
        <w:contextualSpacing/>
        <w:jc w:val="left"/>
      </w:pPr>
    </w:p>
    <w:p w14:paraId="762FFA50" w14:textId="77777777" w:rsidR="001C6705" w:rsidRPr="0091006A" w:rsidRDefault="001C6705" w:rsidP="001C6705">
      <w:pPr>
        <w:spacing w:after="120"/>
        <w:ind w:left="708"/>
        <w:contextualSpacing/>
        <w:jc w:val="left"/>
        <w:rPr>
          <w:color w:val="FF0000"/>
        </w:rPr>
      </w:pPr>
      <w:r w:rsidRPr="0091006A">
        <w:t>- úsek věd o neživé přírodě:</w:t>
      </w:r>
    </w:p>
    <w:p w14:paraId="29A2CE84" w14:textId="77777777" w:rsidR="001C6705" w:rsidRPr="0091006A" w:rsidRDefault="00A53CBE" w:rsidP="001C6705">
      <w:pPr>
        <w:spacing w:after="120"/>
        <w:ind w:left="708" w:firstLine="708"/>
        <w:contextualSpacing/>
        <w:jc w:val="left"/>
      </w:pPr>
      <w:r>
        <w:rPr>
          <w:rFonts w:eastAsia="Times New Roman"/>
          <w:lang w:eastAsia="cs-CZ"/>
        </w:rPr>
        <w:t>prof. Ing. Jan Roda, CSc.</w:t>
      </w:r>
    </w:p>
    <w:p w14:paraId="65D976BE" w14:textId="77777777" w:rsidR="001C6705" w:rsidRPr="0091006A" w:rsidRDefault="001C6705" w:rsidP="001C6705">
      <w:pPr>
        <w:spacing w:after="120"/>
        <w:ind w:left="708"/>
        <w:contextualSpacing/>
        <w:jc w:val="left"/>
      </w:pPr>
    </w:p>
    <w:p w14:paraId="62AD3A3A" w14:textId="77777777" w:rsidR="001C6705" w:rsidRPr="0091006A" w:rsidRDefault="001C6705" w:rsidP="001C6705">
      <w:pPr>
        <w:spacing w:after="120"/>
        <w:ind w:left="708"/>
        <w:contextualSpacing/>
        <w:jc w:val="left"/>
      </w:pPr>
      <w:r w:rsidRPr="0091006A">
        <w:t>- úsek lékařských a biologických věd:</w:t>
      </w:r>
    </w:p>
    <w:p w14:paraId="2A9FAFCB" w14:textId="77777777" w:rsidR="001C6705" w:rsidRPr="0091006A" w:rsidRDefault="001C6705" w:rsidP="001C6705">
      <w:pPr>
        <w:spacing w:after="120"/>
        <w:ind w:left="708"/>
        <w:contextualSpacing/>
        <w:jc w:val="left"/>
        <w:rPr>
          <w:color w:val="FF0000"/>
        </w:rPr>
      </w:pPr>
      <w:r w:rsidRPr="0091006A">
        <w:tab/>
        <w:t>prof. PhDr. Jana Geršlová, CSc.</w:t>
      </w:r>
      <w:r>
        <w:t xml:space="preserve"> </w:t>
      </w:r>
    </w:p>
    <w:p w14:paraId="4B27C7BA" w14:textId="77777777" w:rsidR="001C6705" w:rsidRPr="0091006A" w:rsidRDefault="00A53CBE" w:rsidP="001C6705">
      <w:pPr>
        <w:spacing w:after="120"/>
        <w:ind w:left="708" w:firstLine="708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prof</w:t>
      </w:r>
      <w:r w:rsidR="001C6705" w:rsidRPr="0091006A">
        <w:rPr>
          <w:rFonts w:eastAsia="Times New Roman"/>
          <w:lang w:eastAsia="cs-CZ"/>
        </w:rPr>
        <w:t>. RNDr. Omar Šerý, Ph.D.</w:t>
      </w:r>
      <w:r>
        <w:rPr>
          <w:rFonts w:eastAsia="Times New Roman"/>
          <w:lang w:eastAsia="cs-CZ"/>
        </w:rPr>
        <w:t xml:space="preserve"> </w:t>
      </w:r>
    </w:p>
    <w:p w14:paraId="50260143" w14:textId="77777777" w:rsidR="001C6705" w:rsidRPr="0091006A" w:rsidRDefault="001C6705" w:rsidP="001C6705">
      <w:pPr>
        <w:spacing w:after="120"/>
        <w:ind w:left="1416" w:firstLine="708"/>
        <w:contextualSpacing/>
        <w:rPr>
          <w:rFonts w:eastAsia="Times New Roman"/>
          <w:lang w:eastAsia="cs-CZ"/>
        </w:rPr>
      </w:pPr>
    </w:p>
    <w:p w14:paraId="5D0B473F" w14:textId="77777777" w:rsidR="001C6705" w:rsidRPr="0091006A" w:rsidRDefault="001C6705" w:rsidP="00A53CBE">
      <w:pPr>
        <w:spacing w:after="120"/>
        <w:ind w:left="708"/>
        <w:contextualSpacing/>
        <w:jc w:val="left"/>
      </w:pPr>
      <w:r w:rsidRPr="0091006A">
        <w:t xml:space="preserve">- úsek společenských a humanitních věd: </w:t>
      </w:r>
    </w:p>
    <w:p w14:paraId="14B928E9" w14:textId="77777777" w:rsidR="001C6705" w:rsidRDefault="001C6705" w:rsidP="001C6705">
      <w:pPr>
        <w:spacing w:after="120"/>
        <w:ind w:left="708"/>
        <w:contextualSpacing/>
        <w:jc w:val="left"/>
      </w:pPr>
      <w:r w:rsidRPr="0091006A">
        <w:tab/>
        <w:t>prof. Ing. Mária Režňáková, CSc.</w:t>
      </w:r>
    </w:p>
    <w:p w14:paraId="1E633123" w14:textId="77777777" w:rsidR="00A53CBE" w:rsidRPr="0091006A" w:rsidRDefault="00A53CBE" w:rsidP="00A53CBE">
      <w:pPr>
        <w:spacing w:after="120"/>
        <w:ind w:left="708" w:firstLine="708"/>
        <w:contextualSpacing/>
        <w:jc w:val="left"/>
        <w:rPr>
          <w:color w:val="FF0000"/>
        </w:rPr>
      </w:pPr>
      <w:r w:rsidRPr="0091006A">
        <w:t xml:space="preserve">Ing. Mirka Wildmannová, Ph.D. </w:t>
      </w:r>
    </w:p>
    <w:p w14:paraId="5E60D1EC" w14:textId="77777777" w:rsidR="001C6705" w:rsidRPr="0091006A" w:rsidRDefault="001C6705" w:rsidP="004F1EA5">
      <w:pPr>
        <w:spacing w:after="120"/>
        <w:contextualSpacing/>
        <w:jc w:val="left"/>
      </w:pPr>
    </w:p>
    <w:p w14:paraId="43622C24" w14:textId="77777777" w:rsidR="001C6705" w:rsidRPr="0091006A" w:rsidRDefault="001C6705" w:rsidP="001C6705">
      <w:pPr>
        <w:spacing w:after="120"/>
        <w:ind w:left="708"/>
        <w:contextualSpacing/>
        <w:jc w:val="left"/>
      </w:pPr>
      <w:r w:rsidRPr="0091006A">
        <w:t xml:space="preserve">- úsek zemědělských a biologicko-environmentálních věd: </w:t>
      </w:r>
    </w:p>
    <w:p w14:paraId="28444004" w14:textId="77777777" w:rsidR="001C6705" w:rsidRPr="0091006A" w:rsidRDefault="001C6705" w:rsidP="001C6705">
      <w:pPr>
        <w:spacing w:after="120"/>
        <w:ind w:left="708"/>
        <w:contextualSpacing/>
        <w:jc w:val="left"/>
      </w:pPr>
      <w:r w:rsidRPr="0091006A">
        <w:tab/>
        <w:t>prof. Mgr. Libor Jan, Ph.D.</w:t>
      </w:r>
    </w:p>
    <w:p w14:paraId="5D58923F" w14:textId="77777777" w:rsidR="001C6705" w:rsidRPr="0091006A" w:rsidRDefault="001C6705" w:rsidP="001C6705">
      <w:pPr>
        <w:spacing w:after="120"/>
        <w:ind w:left="709"/>
        <w:contextualSpacing/>
        <w:jc w:val="left"/>
      </w:pPr>
      <w:r w:rsidRPr="0091006A">
        <w:tab/>
      </w:r>
      <w:r w:rsidRPr="007B1B2B">
        <w:t>prof.</w:t>
      </w:r>
      <w:r w:rsidRPr="0091006A">
        <w:t xml:space="preserve"> JUDr. Věra Kalvodová, Dr. </w:t>
      </w:r>
    </w:p>
    <w:p w14:paraId="29EF6EF4" w14:textId="77777777" w:rsidR="001C6705" w:rsidRDefault="001C6705" w:rsidP="001C6705">
      <w:pPr>
        <w:spacing w:after="120"/>
        <w:ind w:left="709"/>
        <w:contextualSpacing/>
        <w:jc w:val="left"/>
      </w:pPr>
    </w:p>
    <w:p w14:paraId="618047FA" w14:textId="3FEC6375" w:rsidR="004F1EA5" w:rsidRDefault="004F1EA5" w:rsidP="00AB42C4">
      <w:pPr>
        <w:spacing w:after="120"/>
        <w:ind w:left="709"/>
        <w:contextualSpacing/>
      </w:pPr>
      <w:r>
        <w:t>Je</w:t>
      </w:r>
      <w:r w:rsidR="00AB42C4">
        <w:t xml:space="preserve"> </w:t>
      </w:r>
      <w:r>
        <w:t xml:space="preserve">však možné </w:t>
      </w:r>
      <w:r w:rsidR="00AB42C4">
        <w:t>(</w:t>
      </w:r>
      <w:r>
        <w:t>v případě potřeby</w:t>
      </w:r>
      <w:r w:rsidR="00AB42C4">
        <w:t>)</w:t>
      </w:r>
      <w:r w:rsidR="003F762C">
        <w:t xml:space="preserve"> </w:t>
      </w:r>
      <w:r>
        <w:t xml:space="preserve">vzájemné </w:t>
      </w:r>
      <w:r w:rsidR="007257C2">
        <w:t>zastupování</w:t>
      </w:r>
      <w:r w:rsidR="00B7761C" w:rsidRPr="00B7761C">
        <w:t>,</w:t>
      </w:r>
      <w:r w:rsidR="007257C2">
        <w:t xml:space="preserve"> </w:t>
      </w:r>
      <w:r>
        <w:t xml:space="preserve">a </w:t>
      </w:r>
      <w:r w:rsidR="00AB42C4">
        <w:t xml:space="preserve"> </w:t>
      </w:r>
      <w:r w:rsidR="007257C2">
        <w:t xml:space="preserve">tudíž </w:t>
      </w:r>
      <w:r w:rsidR="00AB42C4">
        <w:t xml:space="preserve"> </w:t>
      </w:r>
      <w:r>
        <w:t>kontrolní</w:t>
      </w:r>
    </w:p>
    <w:p w14:paraId="11562AA6" w14:textId="42EB537A" w:rsidR="004F1EA5" w:rsidRDefault="004F1EA5" w:rsidP="00AB42C4">
      <w:pPr>
        <w:spacing w:after="120"/>
        <w:contextualSpacing/>
      </w:pPr>
      <w:r>
        <w:t>činnost napříč panely a oborovými komisemi</w:t>
      </w:r>
      <w:r w:rsidR="008E1C93">
        <w:t xml:space="preserve"> (nutnost i vzhledem k počtu členů KR </w:t>
      </w:r>
      <w:r w:rsidR="00AB42C4">
        <w:br/>
      </w:r>
      <w:r w:rsidR="008E1C93">
        <w:t>ve vztahu k počtu zasedání panelů či oborových rad).</w:t>
      </w:r>
    </w:p>
    <w:p w14:paraId="31AEDA34" w14:textId="77777777" w:rsidR="004F1EA5" w:rsidRPr="0091006A" w:rsidRDefault="004F1EA5" w:rsidP="001C6705">
      <w:pPr>
        <w:spacing w:after="120"/>
        <w:ind w:left="709"/>
        <w:contextualSpacing/>
        <w:jc w:val="left"/>
      </w:pPr>
    </w:p>
    <w:p w14:paraId="1BF5C3B3" w14:textId="0EF7DCA2" w:rsidR="001C6705" w:rsidRPr="0091006A" w:rsidRDefault="001C6705" w:rsidP="001C6705">
      <w:pPr>
        <w:spacing w:after="120"/>
        <w:ind w:firstLine="709"/>
      </w:pPr>
      <w:r w:rsidRPr="0091006A">
        <w:t>Kont</w:t>
      </w:r>
      <w:r w:rsidR="007D5987">
        <w:t>rolní činnost KR je daná</w:t>
      </w:r>
      <w:r w:rsidRPr="0091006A">
        <w:t xml:space="preserve"> </w:t>
      </w:r>
      <w:r w:rsidRPr="004F1EA5">
        <w:rPr>
          <w:b/>
        </w:rPr>
        <w:t xml:space="preserve">harmonogramem vyhlášení a hodnocení </w:t>
      </w:r>
      <w:r w:rsidRPr="0091006A">
        <w:t xml:space="preserve">veřejných soutěží na podávání projektů. </w:t>
      </w:r>
      <w:r w:rsidR="007D5987">
        <w:t>Průběh celé veřejné</w:t>
      </w:r>
      <w:r w:rsidRPr="0091006A">
        <w:t xml:space="preserve"> soutěž</w:t>
      </w:r>
      <w:r w:rsidR="007D5987">
        <w:t>e</w:t>
      </w:r>
      <w:r w:rsidRPr="0091006A">
        <w:t xml:space="preserve"> GA ČR je </w:t>
      </w:r>
      <w:r w:rsidR="00D93434">
        <w:br/>
      </w:r>
      <w:r w:rsidRPr="0091006A">
        <w:t xml:space="preserve">pro následující rok </w:t>
      </w:r>
      <w:r w:rsidR="007D5987">
        <w:t>stanoven a prochází jednotlivými fázemi: nejprve je veřejná soutěž GA ČR</w:t>
      </w:r>
      <w:r w:rsidRPr="0091006A">
        <w:t xml:space="preserve"> </w:t>
      </w:r>
      <w:r w:rsidRPr="004F1EA5">
        <w:rPr>
          <w:b/>
        </w:rPr>
        <w:t>vyhlašována</w:t>
      </w:r>
      <w:r w:rsidRPr="0091006A">
        <w:t xml:space="preserve"> </w:t>
      </w:r>
      <w:r w:rsidR="007D5987" w:rsidRPr="0091006A">
        <w:t xml:space="preserve">zpravidla </w:t>
      </w:r>
      <w:r w:rsidRPr="0091006A">
        <w:t>s termínem uzávěr</w:t>
      </w:r>
      <w:r w:rsidR="007D5987">
        <w:t xml:space="preserve">ky na přelomu března a dubna. </w:t>
      </w:r>
      <w:r w:rsidR="00AB42C4">
        <w:br/>
      </w:r>
      <w:r w:rsidR="007D5987">
        <w:t>V</w:t>
      </w:r>
      <w:r w:rsidRPr="0091006A">
        <w:t xml:space="preserve"> následujících dvou měsících probíhá nejprve </w:t>
      </w:r>
      <w:r w:rsidRPr="004F1EA5">
        <w:rPr>
          <w:b/>
        </w:rPr>
        <w:t>kontrola náležitostí</w:t>
      </w:r>
      <w:r w:rsidRPr="0091006A">
        <w:t xml:space="preserve"> </w:t>
      </w:r>
      <w:r w:rsidRPr="0091006A">
        <w:lastRenderedPageBreak/>
        <w:t xml:space="preserve">předložených návrhů projektů a bezprostředně potom navazuje </w:t>
      </w:r>
      <w:r w:rsidRPr="004F1EA5">
        <w:rPr>
          <w:b/>
        </w:rPr>
        <w:t>první fáze hodnocení</w:t>
      </w:r>
      <w:r w:rsidRPr="0091006A">
        <w:t xml:space="preserve"> návrhů projektů. </w:t>
      </w:r>
      <w:r w:rsidR="007D5987">
        <w:t xml:space="preserve">V ní probíhá na úrovni panelů </w:t>
      </w:r>
      <w:r w:rsidRPr="0091006A">
        <w:t xml:space="preserve">výběr zpravodajů a zahraničních oponentů. Důležitou součástí této fáze posuzování je zajištění dostatečného počtu nezávislých odborných posudků. Následuje </w:t>
      </w:r>
      <w:r w:rsidRPr="004F1EA5">
        <w:rPr>
          <w:b/>
        </w:rPr>
        <w:t xml:space="preserve">důkladná diskuse na úrovni panelů </w:t>
      </w:r>
      <w:r w:rsidR="00AB42C4">
        <w:rPr>
          <w:b/>
        </w:rPr>
        <w:br/>
      </w:r>
      <w:r w:rsidRPr="004F1EA5">
        <w:rPr>
          <w:b/>
        </w:rPr>
        <w:t xml:space="preserve">a </w:t>
      </w:r>
      <w:r w:rsidR="00F124D2">
        <w:rPr>
          <w:b/>
        </w:rPr>
        <w:t xml:space="preserve">zastavení hodnocení </w:t>
      </w:r>
      <w:r w:rsidR="00F124D2" w:rsidRPr="00D93434">
        <w:t>nejslabších</w:t>
      </w:r>
      <w:r w:rsidR="00F124D2">
        <w:rPr>
          <w:b/>
        </w:rPr>
        <w:t xml:space="preserve"> </w:t>
      </w:r>
      <w:r w:rsidR="00F124D2" w:rsidRPr="00D93434">
        <w:t>návrhů projektů</w:t>
      </w:r>
      <w:r w:rsidRPr="00F124D2">
        <w:t>.</w:t>
      </w:r>
      <w:r w:rsidRPr="0091006A">
        <w:t xml:space="preserve"> V dalším kroku </w:t>
      </w:r>
      <w:r w:rsidR="00FC63CD">
        <w:t xml:space="preserve">– ve </w:t>
      </w:r>
      <w:r w:rsidR="00FC63CD">
        <w:rPr>
          <w:b/>
        </w:rPr>
        <w:t xml:space="preserve">druhé fázi </w:t>
      </w:r>
      <w:r w:rsidR="00FC63CD">
        <w:t xml:space="preserve">– </w:t>
      </w:r>
      <w:r w:rsidRPr="0091006A">
        <w:t xml:space="preserve">následuje </w:t>
      </w:r>
      <w:r w:rsidRPr="004F1EA5">
        <w:rPr>
          <w:b/>
        </w:rPr>
        <w:t>určení finálního pořadí</w:t>
      </w:r>
      <w:r w:rsidRPr="0091006A">
        <w:t xml:space="preserve"> návrhů projektů na úrovni jednotlivých oborových komisí, které pak doporučí návrhy projektů pro financování. </w:t>
      </w:r>
      <w:r w:rsidRPr="004F1EA5">
        <w:rPr>
          <w:b/>
        </w:rPr>
        <w:t>Předsednictvo GA</w:t>
      </w:r>
      <w:r w:rsidR="004265FC">
        <w:rPr>
          <w:b/>
        </w:rPr>
        <w:t xml:space="preserve"> </w:t>
      </w:r>
      <w:r w:rsidRPr="004F1EA5">
        <w:rPr>
          <w:b/>
        </w:rPr>
        <w:t>ČR pak definitivně rozhoduje o financování</w:t>
      </w:r>
      <w:r w:rsidRPr="0091006A">
        <w:t xml:space="preserve"> grantových projektů. Hodnocení dílčích </w:t>
      </w:r>
      <w:r w:rsidR="00AB42C4">
        <w:br/>
      </w:r>
      <w:r w:rsidRPr="0091006A">
        <w:t xml:space="preserve">a závěrečných zpráv o řešení projektů probíhá v měsících únor a březen nejdříve </w:t>
      </w:r>
      <w:r w:rsidR="00AB42C4">
        <w:br/>
      </w:r>
      <w:r w:rsidRPr="0091006A">
        <w:t xml:space="preserve">na úrovni </w:t>
      </w:r>
      <w:r w:rsidR="001F7A48" w:rsidRPr="0091006A">
        <w:t>hodnot</w:t>
      </w:r>
      <w:r w:rsidR="001F7A48">
        <w:t>i</w:t>
      </w:r>
      <w:r w:rsidR="001F7A48" w:rsidRPr="0091006A">
        <w:t xml:space="preserve">cích </w:t>
      </w:r>
      <w:r w:rsidRPr="0091006A">
        <w:t>panelů, pak na úrovni oborových komisí. Závěrečné stanovisko k návrhům hodnocení projektů vydává předsednictvo.</w:t>
      </w:r>
    </w:p>
    <w:p w14:paraId="3E617674" w14:textId="23F3E78A" w:rsidR="001C6705" w:rsidRDefault="001C6705" w:rsidP="001C6705">
      <w:pPr>
        <w:spacing w:after="120"/>
        <w:ind w:firstLine="709"/>
      </w:pPr>
      <w:r w:rsidRPr="0091006A">
        <w:t xml:space="preserve">KR GA ČR se věnuje </w:t>
      </w:r>
      <w:r w:rsidRPr="0091006A">
        <w:rPr>
          <w:b/>
        </w:rPr>
        <w:t>kontrole činnosti panelů</w:t>
      </w:r>
      <w:r w:rsidRPr="0091006A">
        <w:t xml:space="preserve"> (podle výše uvedeného rozdělení členů KR GA ČR), průběhu </w:t>
      </w:r>
      <w:r w:rsidRPr="0091006A">
        <w:rPr>
          <w:b/>
        </w:rPr>
        <w:t>hodnocení návrhů</w:t>
      </w:r>
      <w:r w:rsidRPr="0091006A">
        <w:t xml:space="preserve"> grantových projektů v hodnoticích panelech a také i procesu </w:t>
      </w:r>
      <w:r w:rsidRPr="0091006A">
        <w:rPr>
          <w:b/>
        </w:rPr>
        <w:t>hodnocení dosažených výsledků</w:t>
      </w:r>
      <w:r w:rsidRPr="0091006A">
        <w:t xml:space="preserve"> při řešení jednotlivých grantových projektů. KR GA ČR </w:t>
      </w:r>
      <w:r w:rsidRPr="00FC63CD">
        <w:rPr>
          <w:b/>
        </w:rPr>
        <w:t>v případě nutnosti</w:t>
      </w:r>
      <w:r w:rsidRPr="0091006A">
        <w:t xml:space="preserve"> upozorňuje členy odborných orgánů na opomenutí nebo nedostatky, které se vyskytovaly při hodnocení projektů. Ve spolupráci s úsekem kontroly Kanceláře GA ČR je důležitá i </w:t>
      </w:r>
      <w:r w:rsidRPr="0091006A">
        <w:rPr>
          <w:b/>
        </w:rPr>
        <w:t>kontrola využívání přidělených finančních prostředků</w:t>
      </w:r>
      <w:r w:rsidRPr="0091006A">
        <w:t xml:space="preserve"> v souladu s návrhy projektů </w:t>
      </w:r>
      <w:r w:rsidR="00AB42C4">
        <w:br/>
      </w:r>
      <w:r w:rsidRPr="0091006A">
        <w:t>i zadávací dokumentací (schválení přesunů finančních prostředků při opodstatněné změně v postupu řešení projektu).</w:t>
      </w:r>
    </w:p>
    <w:p w14:paraId="3C0A2478" w14:textId="77777777" w:rsidR="00734AA3" w:rsidRDefault="00734AA3" w:rsidP="001C6705">
      <w:pPr>
        <w:spacing w:after="120"/>
        <w:ind w:firstLine="709"/>
      </w:pPr>
    </w:p>
    <w:p w14:paraId="6C25F1BF" w14:textId="30B22B0F" w:rsidR="00FC63CD" w:rsidRPr="0091006A" w:rsidRDefault="00FC63CD" w:rsidP="00734AA3">
      <w:pPr>
        <w:spacing w:after="240"/>
        <w:ind w:firstLine="709"/>
      </w:pPr>
      <w:r w:rsidRPr="0091006A">
        <w:t xml:space="preserve">V uplynulém období </w:t>
      </w:r>
      <w:r>
        <w:t xml:space="preserve">(od října 2017 do </w:t>
      </w:r>
      <w:r w:rsidR="00737E0B">
        <w:t xml:space="preserve">září </w:t>
      </w:r>
      <w:r>
        <w:t xml:space="preserve">2018) </w:t>
      </w:r>
      <w:r w:rsidRPr="0091006A">
        <w:t>došlo ke všem činnostem odborných a řídících orgánů GA ČR. Jednalo se zejména o následující zasedání odborných panelů, oborovýc</w:t>
      </w:r>
      <w:r w:rsidR="00734AA3">
        <w:t>h komisí a předsednictva GA ČR:</w:t>
      </w:r>
    </w:p>
    <w:p w14:paraId="06B82AA5" w14:textId="77777777" w:rsidR="00FC63CD" w:rsidRPr="0091006A" w:rsidRDefault="00FC63CD" w:rsidP="00FC63CD">
      <w:pPr>
        <w:pStyle w:val="Odstavecseseznamem"/>
        <w:numPr>
          <w:ilvl w:val="0"/>
          <w:numId w:val="2"/>
        </w:numPr>
        <w:spacing w:before="120" w:after="240"/>
        <w:ind w:left="714" w:hanging="357"/>
        <w:rPr>
          <w:b/>
        </w:rPr>
      </w:pPr>
      <w:r w:rsidRPr="0091006A">
        <w:rPr>
          <w:b/>
        </w:rPr>
        <w:t>Druhá fáze hodnocení žádostí o udělení grantů GA ČR, která probíhala v </w:t>
      </w:r>
      <w:r w:rsidR="007D5987">
        <w:rPr>
          <w:b/>
        </w:rPr>
        <w:t>měsících říjnu až listopadu 2017</w:t>
      </w:r>
    </w:p>
    <w:p w14:paraId="6248B1F7" w14:textId="344B42EF" w:rsidR="001113F2" w:rsidRDefault="00FC63CD" w:rsidP="00FC63CD">
      <w:pPr>
        <w:spacing w:after="120"/>
        <w:contextualSpacing/>
      </w:pPr>
      <w:r w:rsidRPr="0091006A">
        <w:tab/>
        <w:t>Kontrolní rada může potvrdit, že celý proces výběru gra</w:t>
      </w:r>
      <w:r w:rsidR="007D5987">
        <w:t>ntů a jejich hodnocení probíhal</w:t>
      </w:r>
      <w:r w:rsidRPr="0091006A">
        <w:t xml:space="preserve"> </w:t>
      </w:r>
      <w:r w:rsidRPr="0091006A">
        <w:rPr>
          <w:b/>
        </w:rPr>
        <w:t>standardním způsobem</w:t>
      </w:r>
      <w:r w:rsidR="007D5987">
        <w:t>. Hlavní úlohu ve výběru</w:t>
      </w:r>
      <w:r w:rsidRPr="0091006A">
        <w:t xml:space="preserve"> mají </w:t>
      </w:r>
      <w:r w:rsidRPr="0091006A">
        <w:rPr>
          <w:b/>
        </w:rPr>
        <w:t>odborné panely</w:t>
      </w:r>
      <w:r w:rsidRPr="0091006A">
        <w:t xml:space="preserve">, které musí po zhodnocení všech návrhů projektů stanovit ve druhé fázi hodnocení pořadí návrhů projektů v rámci každého panelu. </w:t>
      </w:r>
      <w:r w:rsidRPr="0091006A">
        <w:rPr>
          <w:b/>
        </w:rPr>
        <w:t>Oborové komise</w:t>
      </w:r>
      <w:r w:rsidRPr="0091006A">
        <w:t xml:space="preserve"> pak stanovují pořadí návrhů projektů v rámci dané vědní oblasti</w:t>
      </w:r>
      <w:r w:rsidRPr="00F03AE1">
        <w:rPr>
          <w:b/>
        </w:rPr>
        <w:t>. Definitivní</w:t>
      </w:r>
      <w:r w:rsidRPr="0091006A">
        <w:t xml:space="preserve"> výběr financovaných projektů je proveden </w:t>
      </w:r>
      <w:r w:rsidR="006B2301">
        <w:rPr>
          <w:b/>
        </w:rPr>
        <w:t>p</w:t>
      </w:r>
      <w:r w:rsidR="006B2301" w:rsidRPr="0091006A">
        <w:rPr>
          <w:b/>
        </w:rPr>
        <w:t>ředsednictvem</w:t>
      </w:r>
      <w:r w:rsidR="006B2301" w:rsidRPr="0091006A">
        <w:t xml:space="preserve"> </w:t>
      </w:r>
      <w:r w:rsidRPr="0091006A">
        <w:t xml:space="preserve">GA ČR v součinnosti s předsedy a místopředsedy všech oborových komisí. </w:t>
      </w:r>
    </w:p>
    <w:p w14:paraId="19E02926" w14:textId="77777777" w:rsidR="001113F2" w:rsidRDefault="001113F2" w:rsidP="00FC63CD">
      <w:pPr>
        <w:spacing w:after="120"/>
        <w:contextualSpacing/>
      </w:pPr>
    </w:p>
    <w:p w14:paraId="4797572B" w14:textId="4DB25CB0" w:rsidR="00FC63CD" w:rsidRDefault="001113F2" w:rsidP="001113F2">
      <w:pPr>
        <w:spacing w:after="120"/>
        <w:ind w:firstLine="414"/>
        <w:contextualSpacing/>
      </w:pPr>
      <w:r>
        <w:t xml:space="preserve">Je možné konstatovat, že i v tomto sledovaném období byla vždy </w:t>
      </w:r>
      <w:r w:rsidR="00FC63CD" w:rsidRPr="0091006A">
        <w:t>respektována doporučení panelů a oborových komisí</w:t>
      </w:r>
      <w:r w:rsidR="002431A5">
        <w:t xml:space="preserve">, která vznikala na zasedáních jako výsledek </w:t>
      </w:r>
      <w:r w:rsidR="002431A5">
        <w:lastRenderedPageBreak/>
        <w:t xml:space="preserve">dohody všech jejich členů. </w:t>
      </w:r>
      <w:r w:rsidR="00FC63CD" w:rsidRPr="00F03AE1">
        <w:rPr>
          <w:b/>
        </w:rPr>
        <w:t>Výsledky celého procesu</w:t>
      </w:r>
      <w:r w:rsidR="00FC63CD" w:rsidRPr="0091006A">
        <w:t xml:space="preserve"> hodnocení shrnují následující tabulky</w:t>
      </w:r>
      <w:r w:rsidR="00FC63CD" w:rsidRPr="0091006A">
        <w:rPr>
          <w:rStyle w:val="Znakapoznpodarou"/>
        </w:rPr>
        <w:footnoteReference w:id="1"/>
      </w:r>
      <w:r w:rsidR="00FC63CD" w:rsidRPr="0091006A">
        <w:t>:</w:t>
      </w:r>
    </w:p>
    <w:p w14:paraId="4E9AA2A1" w14:textId="016D102F" w:rsidR="00AB42C4" w:rsidRDefault="00AB42C4" w:rsidP="001113F2">
      <w:pPr>
        <w:spacing w:after="120"/>
        <w:ind w:firstLine="414"/>
        <w:contextualSpacing/>
      </w:pPr>
    </w:p>
    <w:p w14:paraId="1E5C2BC9" w14:textId="77777777" w:rsidR="00D93434" w:rsidRDefault="00D93434" w:rsidP="00DF5C5B">
      <w:pPr>
        <w:spacing w:after="160" w:line="259" w:lineRule="auto"/>
        <w:jc w:val="left"/>
        <w:rPr>
          <w:b/>
        </w:rPr>
      </w:pPr>
    </w:p>
    <w:p w14:paraId="50AFB24F" w14:textId="77777777" w:rsidR="00D93434" w:rsidRDefault="00D93434" w:rsidP="00DF5C5B">
      <w:pPr>
        <w:spacing w:after="160" w:line="259" w:lineRule="auto"/>
        <w:jc w:val="left"/>
        <w:rPr>
          <w:b/>
        </w:rPr>
      </w:pPr>
    </w:p>
    <w:p w14:paraId="0C6EEF77" w14:textId="77777777" w:rsidR="00D93434" w:rsidRDefault="00D93434" w:rsidP="00DF5C5B">
      <w:pPr>
        <w:spacing w:after="160" w:line="259" w:lineRule="auto"/>
        <w:jc w:val="left"/>
        <w:rPr>
          <w:b/>
        </w:rPr>
      </w:pPr>
    </w:p>
    <w:p w14:paraId="7B08C1E7" w14:textId="77777777" w:rsidR="00D93434" w:rsidRDefault="00D93434" w:rsidP="00DF5C5B">
      <w:pPr>
        <w:spacing w:after="160" w:line="259" w:lineRule="auto"/>
        <w:jc w:val="left"/>
        <w:rPr>
          <w:b/>
        </w:rPr>
      </w:pPr>
    </w:p>
    <w:p w14:paraId="13F7E796" w14:textId="5CD1E345" w:rsidR="00FC63CD" w:rsidRDefault="00FC63CD" w:rsidP="00DF5C5B">
      <w:pPr>
        <w:spacing w:after="160" w:line="259" w:lineRule="auto"/>
        <w:jc w:val="left"/>
        <w:rPr>
          <w:b/>
        </w:rPr>
      </w:pPr>
      <w:r w:rsidRPr="00EC0C15">
        <w:rPr>
          <w:b/>
        </w:rPr>
        <w:t>Standardní projekty</w:t>
      </w:r>
    </w:p>
    <w:p w14:paraId="287C2C9A" w14:textId="77777777" w:rsidR="00FC63CD" w:rsidRPr="00EC0C15" w:rsidRDefault="00FC63CD" w:rsidP="00FC63CD">
      <w:pPr>
        <w:spacing w:after="120"/>
        <w:ind w:left="414"/>
        <w:contextualSpacing/>
        <w:jc w:val="center"/>
        <w:rPr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1090"/>
        <w:gridCol w:w="1675"/>
        <w:gridCol w:w="1675"/>
        <w:gridCol w:w="1332"/>
      </w:tblGrid>
      <w:tr w:rsidR="00FC63CD" w:rsidRPr="008E6C23" w14:paraId="044FA0F0" w14:textId="77777777" w:rsidTr="00302CA0">
        <w:trPr>
          <w:trHeight w:val="885"/>
        </w:trPr>
        <w:tc>
          <w:tcPr>
            <w:tcW w:w="3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D1E2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9EF3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Počet všech návrhů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8D92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Počet posuzovaných návrhů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E3D8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Počet financovaných projektů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DAC17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Úspěšnost</w:t>
            </w:r>
            <w:r w:rsidRPr="00EC0C15">
              <w:rPr>
                <w:rFonts w:eastAsia="Times New Roman"/>
                <w:color w:val="000000"/>
                <w:lang w:eastAsia="cs-CZ"/>
              </w:rPr>
              <w:br/>
              <w:t>[%]</w:t>
            </w:r>
          </w:p>
        </w:tc>
      </w:tr>
      <w:tr w:rsidR="00FC63CD" w:rsidRPr="008E6C23" w14:paraId="59133478" w14:textId="77777777" w:rsidTr="00302CA0">
        <w:trPr>
          <w:trHeight w:val="458"/>
        </w:trPr>
        <w:tc>
          <w:tcPr>
            <w:tcW w:w="3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DBB99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2E76D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50A67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CE808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E7A35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63CD" w:rsidRPr="008E6C23" w14:paraId="5BC33C93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CB1D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0A79" w14:textId="77777777" w:rsidR="00FC63CD" w:rsidRPr="00EF4014" w:rsidRDefault="00FC63CD" w:rsidP="00302CA0">
            <w:pPr>
              <w:jc w:val="center"/>
            </w:pPr>
            <w:r w:rsidRPr="00EF4014">
              <w:t>359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B63A" w14:textId="77777777" w:rsidR="00FC63CD" w:rsidRPr="00EF4014" w:rsidRDefault="00FC63CD" w:rsidP="00302CA0">
            <w:pPr>
              <w:jc w:val="center"/>
            </w:pPr>
            <w:r w:rsidRPr="00EF4014">
              <w:t>357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82B3" w14:textId="77777777" w:rsidR="00FC63CD" w:rsidRPr="00EF4014" w:rsidRDefault="00FC63CD" w:rsidP="00302CA0">
            <w:pPr>
              <w:jc w:val="center"/>
            </w:pPr>
            <w:r w:rsidRPr="00EF4014">
              <w:t>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C645" w14:textId="77777777" w:rsidR="00FC63CD" w:rsidRPr="00EF4014" w:rsidRDefault="00FC63CD" w:rsidP="00302CA0">
            <w:pPr>
              <w:jc w:val="center"/>
            </w:pPr>
            <w:r w:rsidRPr="00EF4014">
              <w:t>26,3</w:t>
            </w:r>
          </w:p>
        </w:tc>
      </w:tr>
      <w:tr w:rsidR="00FC63CD" w:rsidRPr="008E6C23" w14:paraId="4CA36D1F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C8D0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C59B" w14:textId="77777777" w:rsidR="00FC63CD" w:rsidRPr="00EF4014" w:rsidRDefault="00FC63CD" w:rsidP="00302CA0">
            <w:pPr>
              <w:jc w:val="center"/>
            </w:pPr>
            <w:r w:rsidRPr="00EF4014">
              <w:t>417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9077" w14:textId="77777777" w:rsidR="00FC63CD" w:rsidRPr="00EF4014" w:rsidRDefault="00FC63CD" w:rsidP="00302CA0">
            <w:pPr>
              <w:jc w:val="center"/>
            </w:pPr>
            <w:r w:rsidRPr="00EF4014">
              <w:t>417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182B" w14:textId="77777777" w:rsidR="00FC63CD" w:rsidRPr="00EF4014" w:rsidRDefault="00FC63CD" w:rsidP="00302CA0">
            <w:pPr>
              <w:jc w:val="center"/>
            </w:pPr>
            <w:r w:rsidRPr="00EF4014">
              <w:t>115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1C09" w14:textId="77777777" w:rsidR="00FC63CD" w:rsidRPr="00EF4014" w:rsidRDefault="00FC63CD" w:rsidP="00302CA0">
            <w:pPr>
              <w:jc w:val="center"/>
            </w:pPr>
            <w:r w:rsidRPr="00EF4014">
              <w:t>27,6</w:t>
            </w:r>
          </w:p>
        </w:tc>
      </w:tr>
      <w:tr w:rsidR="00FC63CD" w:rsidRPr="008E6C23" w14:paraId="06C26EDE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0EA9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3F6A" w14:textId="77777777" w:rsidR="00FC63CD" w:rsidRPr="00EF4014" w:rsidRDefault="00FC63CD" w:rsidP="00302CA0">
            <w:pPr>
              <w:jc w:val="center"/>
            </w:pPr>
            <w:r w:rsidRPr="00EF4014">
              <w:t>296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8D11" w14:textId="77777777" w:rsidR="00FC63CD" w:rsidRPr="00EF4014" w:rsidRDefault="00FC63CD" w:rsidP="00302CA0">
            <w:pPr>
              <w:jc w:val="center"/>
            </w:pPr>
            <w:r w:rsidRPr="00EF4014">
              <w:t>296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8A8F" w14:textId="77777777" w:rsidR="00FC63CD" w:rsidRPr="00EF4014" w:rsidRDefault="00FC63CD" w:rsidP="00302CA0">
            <w:pPr>
              <w:jc w:val="center"/>
            </w:pPr>
            <w:r w:rsidRPr="00EF4014">
              <w:t>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716E" w14:textId="77777777" w:rsidR="00FC63CD" w:rsidRPr="00EF4014" w:rsidRDefault="00FC63CD" w:rsidP="00302CA0">
            <w:pPr>
              <w:jc w:val="center"/>
            </w:pPr>
            <w:r w:rsidRPr="00EF4014">
              <w:t>26,4</w:t>
            </w:r>
          </w:p>
        </w:tc>
      </w:tr>
      <w:tr w:rsidR="00FC63CD" w:rsidRPr="008E6C23" w14:paraId="6441775A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EF52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113A" w14:textId="77777777" w:rsidR="00FC63CD" w:rsidRPr="00EF4014" w:rsidRDefault="00FC63CD" w:rsidP="00302CA0">
            <w:pPr>
              <w:jc w:val="center"/>
            </w:pPr>
            <w:r w:rsidRPr="00EF4014">
              <w:t>692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C266" w14:textId="77777777" w:rsidR="00FC63CD" w:rsidRPr="00EF4014" w:rsidRDefault="00FC63CD" w:rsidP="00302CA0">
            <w:pPr>
              <w:jc w:val="center"/>
            </w:pPr>
            <w:r w:rsidRPr="00EF4014">
              <w:t>689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A535" w14:textId="77777777" w:rsidR="00FC63CD" w:rsidRPr="00EF4014" w:rsidRDefault="00FC63CD" w:rsidP="00302CA0">
            <w:pPr>
              <w:jc w:val="center"/>
            </w:pPr>
            <w:r w:rsidRPr="00EF4014">
              <w:t>181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E0A8" w14:textId="77777777" w:rsidR="00FC63CD" w:rsidRPr="00EF4014" w:rsidRDefault="00FC63CD" w:rsidP="00302CA0">
            <w:pPr>
              <w:jc w:val="center"/>
            </w:pPr>
            <w:r w:rsidRPr="00EF4014">
              <w:t>26,3</w:t>
            </w:r>
          </w:p>
        </w:tc>
      </w:tr>
      <w:tr w:rsidR="00FC63CD" w:rsidRPr="008E6C23" w14:paraId="4DE1A8E9" w14:textId="77777777" w:rsidTr="00302CA0">
        <w:trPr>
          <w:trHeight w:val="6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AE4F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D4C8" w14:textId="77777777" w:rsidR="00FC63CD" w:rsidRPr="00EF4014" w:rsidRDefault="00FC63CD" w:rsidP="00302CA0">
            <w:pPr>
              <w:jc w:val="center"/>
            </w:pPr>
            <w:r w:rsidRPr="00EF4014">
              <w:t>303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CC74" w14:textId="77777777" w:rsidR="00FC63CD" w:rsidRPr="00EF4014" w:rsidRDefault="00FC63CD" w:rsidP="00302CA0">
            <w:pPr>
              <w:jc w:val="center"/>
            </w:pPr>
            <w:r w:rsidRPr="00EF4014">
              <w:t>303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6924" w14:textId="77777777" w:rsidR="00FC63CD" w:rsidRPr="00EF4014" w:rsidRDefault="00FC63CD" w:rsidP="00302CA0">
            <w:pPr>
              <w:jc w:val="center"/>
            </w:pPr>
            <w:r w:rsidRPr="00EF4014"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4C3C" w14:textId="77777777" w:rsidR="00FC63CD" w:rsidRPr="00EF4014" w:rsidRDefault="00FC63CD" w:rsidP="00302CA0">
            <w:pPr>
              <w:jc w:val="center"/>
            </w:pPr>
            <w:r w:rsidRPr="00EF4014">
              <w:t>26,4</w:t>
            </w:r>
          </w:p>
        </w:tc>
      </w:tr>
      <w:tr w:rsidR="00FC63CD" w:rsidRPr="008E6C23" w14:paraId="53E8F6CB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CA15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86DC" w14:textId="77777777" w:rsidR="00FC63CD" w:rsidRPr="00EF4014" w:rsidRDefault="00FC63CD" w:rsidP="00302CA0">
            <w:pPr>
              <w:jc w:val="center"/>
            </w:pPr>
            <w:r w:rsidRPr="00EF4014">
              <w:t>2067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69BB" w14:textId="77777777" w:rsidR="00FC63CD" w:rsidRPr="00EF4014" w:rsidRDefault="00FC63CD" w:rsidP="00302CA0">
            <w:pPr>
              <w:jc w:val="center"/>
            </w:pPr>
            <w:r w:rsidRPr="00EF4014">
              <w:t>2062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1388" w14:textId="77777777" w:rsidR="00FC63CD" w:rsidRPr="00EF4014" w:rsidRDefault="00FC63CD" w:rsidP="00302CA0">
            <w:pPr>
              <w:jc w:val="center"/>
            </w:pPr>
            <w:r w:rsidRPr="00EF4014">
              <w:t>548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3820" w14:textId="77777777" w:rsidR="00FC63CD" w:rsidRDefault="00FC63CD" w:rsidP="00302CA0">
            <w:pPr>
              <w:jc w:val="center"/>
            </w:pPr>
            <w:r w:rsidRPr="00EF4014">
              <w:t>26,6</w:t>
            </w:r>
          </w:p>
        </w:tc>
      </w:tr>
    </w:tbl>
    <w:p w14:paraId="2B50BB6A" w14:textId="77777777" w:rsidR="00FC63CD" w:rsidRPr="008E6C23" w:rsidRDefault="00FC63CD" w:rsidP="00FC63CD">
      <w:pPr>
        <w:spacing w:after="120"/>
        <w:ind w:left="414"/>
        <w:contextualSpacing/>
        <w:jc w:val="center"/>
      </w:pPr>
    </w:p>
    <w:p w14:paraId="53329A0A" w14:textId="77777777" w:rsidR="00FC63CD" w:rsidRDefault="00FC63CD" w:rsidP="00FC63CD">
      <w:pPr>
        <w:spacing w:after="120"/>
        <w:contextualSpacing/>
        <w:jc w:val="center"/>
        <w:rPr>
          <w:b/>
        </w:rPr>
      </w:pPr>
    </w:p>
    <w:p w14:paraId="574C44E1" w14:textId="77777777" w:rsidR="00FC63CD" w:rsidRDefault="00FC63CD" w:rsidP="006965F8">
      <w:pPr>
        <w:spacing w:after="120"/>
        <w:contextualSpacing/>
        <w:rPr>
          <w:b/>
        </w:rPr>
      </w:pPr>
      <w:r w:rsidRPr="008E6C23">
        <w:rPr>
          <w:b/>
        </w:rPr>
        <w:t>Juniorské projekty</w:t>
      </w:r>
    </w:p>
    <w:p w14:paraId="23FB3E03" w14:textId="77777777" w:rsidR="00FC63CD" w:rsidRPr="008E6C23" w:rsidRDefault="00FC63CD" w:rsidP="00FC63CD">
      <w:pPr>
        <w:spacing w:after="120"/>
        <w:contextualSpacing/>
        <w:jc w:val="center"/>
        <w:rPr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1090"/>
        <w:gridCol w:w="1675"/>
        <w:gridCol w:w="1675"/>
        <w:gridCol w:w="1332"/>
      </w:tblGrid>
      <w:tr w:rsidR="00FC63CD" w:rsidRPr="008E6C23" w14:paraId="5E994419" w14:textId="77777777" w:rsidTr="00302CA0">
        <w:trPr>
          <w:trHeight w:val="885"/>
        </w:trPr>
        <w:tc>
          <w:tcPr>
            <w:tcW w:w="3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BD7F" w14:textId="77777777" w:rsidR="00FC63CD" w:rsidRPr="008E6C23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AB1E" w14:textId="77777777" w:rsidR="00FC63CD" w:rsidRPr="008E6C23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Počet všech návrhů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9303" w14:textId="77777777" w:rsidR="00FC63CD" w:rsidRPr="008E6C23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Počet posuzovaných návrhů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B042" w14:textId="77777777" w:rsidR="00FC63CD" w:rsidRPr="008E6C23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Počet financovaných projektů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3A979" w14:textId="77777777" w:rsidR="00FC63CD" w:rsidRPr="008E6C23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Úspěšnost</w:t>
            </w:r>
            <w:r w:rsidRPr="008E6C23">
              <w:rPr>
                <w:rFonts w:eastAsia="Times New Roman"/>
                <w:color w:val="000000"/>
                <w:lang w:eastAsia="cs-CZ"/>
              </w:rPr>
              <w:br/>
              <w:t>[%]</w:t>
            </w:r>
          </w:p>
        </w:tc>
      </w:tr>
      <w:tr w:rsidR="00FC63CD" w:rsidRPr="008E6C23" w14:paraId="3048E72A" w14:textId="77777777" w:rsidTr="00302CA0">
        <w:trPr>
          <w:trHeight w:val="458"/>
        </w:trPr>
        <w:tc>
          <w:tcPr>
            <w:tcW w:w="3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65551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3D3EE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5FA38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D2F5B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7705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63CD" w:rsidRPr="008E6C23" w14:paraId="2C05C9CF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02C2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BB7C6" w14:textId="77777777" w:rsidR="00FC63CD" w:rsidRPr="00D142B3" w:rsidRDefault="00FC63CD" w:rsidP="00302CA0">
            <w:pPr>
              <w:jc w:val="center"/>
            </w:pPr>
            <w:r w:rsidRPr="00D142B3"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604F8" w14:textId="77777777" w:rsidR="00FC63CD" w:rsidRPr="00D142B3" w:rsidRDefault="00FC63CD" w:rsidP="00302CA0">
            <w:pPr>
              <w:jc w:val="center"/>
            </w:pPr>
            <w:r w:rsidRPr="00D142B3"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94FFE" w14:textId="77777777" w:rsidR="00FC63CD" w:rsidRPr="00D142B3" w:rsidRDefault="00FC63CD" w:rsidP="00302CA0">
            <w:pPr>
              <w:jc w:val="center"/>
            </w:pPr>
            <w:r w:rsidRPr="00D142B3"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EC26F" w14:textId="77777777" w:rsidR="00FC63CD" w:rsidRPr="00D142B3" w:rsidRDefault="00FC63CD" w:rsidP="00302CA0">
            <w:pPr>
              <w:jc w:val="center"/>
            </w:pPr>
            <w:r w:rsidRPr="00D142B3">
              <w:t>27,0</w:t>
            </w:r>
          </w:p>
        </w:tc>
      </w:tr>
      <w:tr w:rsidR="00FC63CD" w:rsidRPr="008E6C23" w14:paraId="0F8C2731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C77D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0F694" w14:textId="77777777" w:rsidR="00FC63CD" w:rsidRPr="00D142B3" w:rsidRDefault="00FC63CD" w:rsidP="00302CA0">
            <w:pPr>
              <w:jc w:val="center"/>
            </w:pPr>
            <w:r w:rsidRPr="00D142B3">
              <w:t>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06276" w14:textId="77777777" w:rsidR="00FC63CD" w:rsidRPr="00D142B3" w:rsidRDefault="00FC63CD" w:rsidP="00302CA0">
            <w:pPr>
              <w:jc w:val="center"/>
            </w:pPr>
            <w:r w:rsidRPr="00D142B3">
              <w:t>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E0269" w14:textId="77777777" w:rsidR="00FC63CD" w:rsidRPr="00D142B3" w:rsidRDefault="00FC63CD" w:rsidP="00302CA0">
            <w:pPr>
              <w:jc w:val="center"/>
            </w:pPr>
            <w:r w:rsidRPr="00D142B3"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F6329" w14:textId="77777777" w:rsidR="00FC63CD" w:rsidRPr="00D142B3" w:rsidRDefault="00FC63CD" w:rsidP="00302CA0">
            <w:pPr>
              <w:jc w:val="center"/>
            </w:pPr>
            <w:r w:rsidRPr="00D142B3">
              <w:t>28,8</w:t>
            </w:r>
          </w:p>
        </w:tc>
      </w:tr>
      <w:tr w:rsidR="00FC63CD" w:rsidRPr="008E6C23" w14:paraId="7CB87086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29B1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42931" w14:textId="77777777" w:rsidR="00FC63CD" w:rsidRPr="00D142B3" w:rsidRDefault="00FC63CD" w:rsidP="00302CA0">
            <w:pPr>
              <w:jc w:val="center"/>
            </w:pPr>
            <w:r w:rsidRPr="00D142B3">
              <w:t>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D17FD" w14:textId="77777777" w:rsidR="00FC63CD" w:rsidRPr="00D142B3" w:rsidRDefault="00FC63CD" w:rsidP="00302CA0">
            <w:pPr>
              <w:jc w:val="center"/>
            </w:pPr>
            <w:r w:rsidRPr="00D142B3">
              <w:t>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E20EB" w14:textId="77777777" w:rsidR="00FC63CD" w:rsidRPr="00D142B3" w:rsidRDefault="00FC63CD" w:rsidP="00302CA0">
            <w:pPr>
              <w:jc w:val="center"/>
            </w:pPr>
            <w:r w:rsidRPr="00D142B3"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1D9AB" w14:textId="77777777" w:rsidR="00FC63CD" w:rsidRPr="00D142B3" w:rsidRDefault="00FC63CD" w:rsidP="00302CA0">
            <w:pPr>
              <w:jc w:val="center"/>
            </w:pPr>
            <w:r w:rsidRPr="00D142B3">
              <w:t>26,9</w:t>
            </w:r>
          </w:p>
        </w:tc>
      </w:tr>
      <w:tr w:rsidR="00FC63CD" w:rsidRPr="008E6C23" w14:paraId="5B1FFDBD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CB2D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C58FD" w14:textId="77777777" w:rsidR="00FC63CD" w:rsidRPr="00D142B3" w:rsidRDefault="00FC63CD" w:rsidP="00302CA0">
            <w:pPr>
              <w:jc w:val="center"/>
            </w:pPr>
            <w:r w:rsidRPr="00D142B3">
              <w:t>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E9B02" w14:textId="77777777" w:rsidR="00FC63CD" w:rsidRPr="00D142B3" w:rsidRDefault="00FC63CD" w:rsidP="00302CA0">
            <w:pPr>
              <w:jc w:val="center"/>
            </w:pPr>
            <w:r w:rsidRPr="00D142B3"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D5EF1" w14:textId="77777777" w:rsidR="00FC63CD" w:rsidRPr="00D142B3" w:rsidRDefault="00FC63CD" w:rsidP="00302CA0">
            <w:pPr>
              <w:jc w:val="center"/>
            </w:pPr>
            <w:r w:rsidRPr="00D142B3"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FF468" w14:textId="77777777" w:rsidR="00FC63CD" w:rsidRPr="00D142B3" w:rsidRDefault="00FC63CD" w:rsidP="00302CA0">
            <w:pPr>
              <w:jc w:val="center"/>
            </w:pPr>
            <w:r w:rsidRPr="00D142B3">
              <w:t>21,1</w:t>
            </w:r>
          </w:p>
        </w:tc>
      </w:tr>
      <w:tr w:rsidR="00FC63CD" w:rsidRPr="008E6C23" w14:paraId="272245E0" w14:textId="77777777" w:rsidTr="00302CA0">
        <w:trPr>
          <w:trHeight w:val="6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3232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08FA5" w14:textId="77777777" w:rsidR="00FC63CD" w:rsidRPr="00D142B3" w:rsidRDefault="00FC63CD" w:rsidP="00302CA0">
            <w:pPr>
              <w:jc w:val="center"/>
            </w:pPr>
            <w:r w:rsidRPr="00D142B3">
              <w:t>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35A94" w14:textId="77777777" w:rsidR="00FC63CD" w:rsidRPr="00D142B3" w:rsidRDefault="00FC63CD" w:rsidP="00302CA0">
            <w:pPr>
              <w:jc w:val="center"/>
            </w:pPr>
            <w:r w:rsidRPr="00D142B3">
              <w:t>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684A2" w14:textId="77777777" w:rsidR="00FC63CD" w:rsidRPr="00D142B3" w:rsidRDefault="00FC63CD" w:rsidP="00302CA0">
            <w:pPr>
              <w:jc w:val="center"/>
            </w:pPr>
            <w:r w:rsidRPr="00D142B3"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AFC6A" w14:textId="77777777" w:rsidR="00FC63CD" w:rsidRPr="00D142B3" w:rsidRDefault="00FC63CD" w:rsidP="00302CA0">
            <w:pPr>
              <w:jc w:val="center"/>
            </w:pPr>
            <w:r w:rsidRPr="00D142B3">
              <w:t>29,5</w:t>
            </w:r>
          </w:p>
        </w:tc>
      </w:tr>
      <w:tr w:rsidR="00FC63CD" w:rsidRPr="008E6C23" w14:paraId="7D84A3D6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7445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C695C" w14:textId="77777777" w:rsidR="00FC63CD" w:rsidRPr="00D142B3" w:rsidRDefault="00FC63CD" w:rsidP="00302CA0">
            <w:pPr>
              <w:jc w:val="center"/>
            </w:pPr>
            <w:r w:rsidRPr="00D142B3">
              <w:t>263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2D6A6" w14:textId="77777777" w:rsidR="00FC63CD" w:rsidRPr="00D142B3" w:rsidRDefault="00FC63CD" w:rsidP="00302CA0">
            <w:pPr>
              <w:jc w:val="center"/>
            </w:pPr>
            <w:r w:rsidRPr="00D142B3">
              <w:t>251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16B2F" w14:textId="77777777" w:rsidR="00FC63CD" w:rsidRPr="00D142B3" w:rsidRDefault="00FC63CD" w:rsidP="00302CA0">
            <w:pPr>
              <w:jc w:val="center"/>
            </w:pPr>
            <w:r w:rsidRPr="00D142B3">
              <w:t>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9AB7D" w14:textId="77777777" w:rsidR="00FC63CD" w:rsidRDefault="00FC63CD" w:rsidP="00302CA0">
            <w:pPr>
              <w:jc w:val="center"/>
            </w:pPr>
            <w:r w:rsidRPr="00D142B3">
              <w:t>27,1</w:t>
            </w:r>
          </w:p>
        </w:tc>
      </w:tr>
    </w:tbl>
    <w:p w14:paraId="7DEDAFF1" w14:textId="77777777" w:rsidR="00D93434" w:rsidRDefault="00D93434" w:rsidP="008D6BB3">
      <w:pPr>
        <w:spacing w:after="160" w:line="259" w:lineRule="auto"/>
        <w:jc w:val="left"/>
        <w:rPr>
          <w:b/>
        </w:rPr>
      </w:pPr>
    </w:p>
    <w:p w14:paraId="37E3722F" w14:textId="77777777" w:rsidR="00D93434" w:rsidRDefault="00D93434" w:rsidP="008D6BB3">
      <w:pPr>
        <w:spacing w:after="160" w:line="259" w:lineRule="auto"/>
        <w:jc w:val="left"/>
        <w:rPr>
          <w:b/>
        </w:rPr>
      </w:pPr>
    </w:p>
    <w:p w14:paraId="1A3B6B7F" w14:textId="77777777" w:rsidR="00D93434" w:rsidRDefault="00D93434" w:rsidP="008D6BB3">
      <w:pPr>
        <w:spacing w:after="160" w:line="259" w:lineRule="auto"/>
        <w:jc w:val="left"/>
        <w:rPr>
          <w:b/>
        </w:rPr>
      </w:pPr>
    </w:p>
    <w:p w14:paraId="4E7AD373" w14:textId="77777777" w:rsidR="00D93434" w:rsidRDefault="00D93434" w:rsidP="008D6BB3">
      <w:pPr>
        <w:spacing w:after="160" w:line="259" w:lineRule="auto"/>
        <w:jc w:val="left"/>
        <w:rPr>
          <w:b/>
        </w:rPr>
      </w:pPr>
    </w:p>
    <w:p w14:paraId="419CBD25" w14:textId="525859F0" w:rsidR="00FC63CD" w:rsidRDefault="00FC63CD" w:rsidP="008D6BB3">
      <w:pPr>
        <w:spacing w:after="160" w:line="259" w:lineRule="auto"/>
        <w:jc w:val="left"/>
        <w:rPr>
          <w:b/>
        </w:rPr>
      </w:pPr>
      <w:r w:rsidRPr="00EC0C15">
        <w:rPr>
          <w:b/>
        </w:rPr>
        <w:t>Mezinárodní (bilaterální) projekty</w:t>
      </w:r>
    </w:p>
    <w:p w14:paraId="35110451" w14:textId="77777777" w:rsidR="00FC63CD" w:rsidRPr="00EC0C15" w:rsidRDefault="00FC63CD" w:rsidP="00FC63CD">
      <w:pPr>
        <w:spacing w:after="120"/>
        <w:ind w:left="414"/>
        <w:contextualSpacing/>
        <w:jc w:val="center"/>
        <w:rPr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1090"/>
        <w:gridCol w:w="1675"/>
        <w:gridCol w:w="1675"/>
        <w:gridCol w:w="1332"/>
      </w:tblGrid>
      <w:tr w:rsidR="00FC63CD" w:rsidRPr="008E6C23" w14:paraId="0FB818BD" w14:textId="77777777" w:rsidTr="00302CA0">
        <w:trPr>
          <w:trHeight w:val="885"/>
        </w:trPr>
        <w:tc>
          <w:tcPr>
            <w:tcW w:w="3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6307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7F2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Počet všech návrhů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180A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Počet posuzovaných návrhů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0B68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Počet financovaných projektů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24B1A" w14:textId="77777777" w:rsidR="00FC63CD" w:rsidRPr="00EC0C15" w:rsidRDefault="00FC63CD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Úspěšnost</w:t>
            </w:r>
            <w:r w:rsidRPr="00EC0C15">
              <w:rPr>
                <w:rFonts w:eastAsia="Times New Roman"/>
                <w:color w:val="000000"/>
                <w:lang w:eastAsia="cs-CZ"/>
              </w:rPr>
              <w:br/>
              <w:t>[%]</w:t>
            </w:r>
          </w:p>
        </w:tc>
      </w:tr>
      <w:tr w:rsidR="00FC63CD" w:rsidRPr="008E6C23" w14:paraId="32F023E6" w14:textId="77777777" w:rsidTr="00302CA0">
        <w:trPr>
          <w:trHeight w:val="458"/>
        </w:trPr>
        <w:tc>
          <w:tcPr>
            <w:tcW w:w="3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BA8B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61C98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D29A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3408D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03C90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63CD" w:rsidRPr="008E6C23" w14:paraId="53BE37EC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0240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926F7" w14:textId="77777777" w:rsidR="00FC63CD" w:rsidRPr="0084030A" w:rsidRDefault="00FC63CD" w:rsidP="00302CA0">
            <w:pPr>
              <w:jc w:val="center"/>
            </w:pPr>
            <w:r w:rsidRPr="0084030A"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8CA23" w14:textId="77777777" w:rsidR="00FC63CD" w:rsidRPr="0084030A" w:rsidRDefault="00FC63CD" w:rsidP="00302CA0">
            <w:pPr>
              <w:jc w:val="center"/>
            </w:pPr>
            <w:r w:rsidRPr="0084030A"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F9CF3" w14:textId="77777777" w:rsidR="00FC63CD" w:rsidRPr="0084030A" w:rsidRDefault="00FC63CD" w:rsidP="00302CA0">
            <w:pPr>
              <w:jc w:val="center"/>
            </w:pPr>
            <w:r w:rsidRPr="0084030A"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4D00C" w14:textId="77777777" w:rsidR="00FC63CD" w:rsidRPr="0084030A" w:rsidRDefault="00FC63CD" w:rsidP="00302CA0">
            <w:pPr>
              <w:jc w:val="center"/>
            </w:pPr>
            <w:r w:rsidRPr="0084030A">
              <w:t>8,3</w:t>
            </w:r>
          </w:p>
        </w:tc>
      </w:tr>
      <w:tr w:rsidR="00FC63CD" w:rsidRPr="008E6C23" w14:paraId="40D1C685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313A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14567" w14:textId="77777777" w:rsidR="00FC63CD" w:rsidRPr="0084030A" w:rsidRDefault="00FC63CD" w:rsidP="00302CA0">
            <w:pPr>
              <w:jc w:val="center"/>
            </w:pPr>
            <w:r w:rsidRPr="0084030A"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05742" w14:textId="77777777" w:rsidR="00FC63CD" w:rsidRPr="0084030A" w:rsidRDefault="00FC63CD" w:rsidP="00302CA0">
            <w:pPr>
              <w:jc w:val="center"/>
            </w:pPr>
            <w:r w:rsidRPr="0084030A"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06CD2" w14:textId="77777777" w:rsidR="00FC63CD" w:rsidRPr="0084030A" w:rsidRDefault="00FC63CD" w:rsidP="00302CA0">
            <w:pPr>
              <w:jc w:val="center"/>
            </w:pPr>
            <w:r w:rsidRPr="0084030A"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B9937" w14:textId="77777777" w:rsidR="00FC63CD" w:rsidRPr="0084030A" w:rsidRDefault="00FC63CD" w:rsidP="00302CA0">
            <w:pPr>
              <w:jc w:val="center"/>
            </w:pPr>
            <w:r w:rsidRPr="0084030A">
              <w:t>32,1</w:t>
            </w:r>
          </w:p>
        </w:tc>
      </w:tr>
      <w:tr w:rsidR="00FC63CD" w:rsidRPr="008E6C23" w14:paraId="669EFDCE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B99A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2841" w14:textId="77777777" w:rsidR="00FC63CD" w:rsidRPr="0084030A" w:rsidRDefault="00FC63CD" w:rsidP="00302CA0">
            <w:pPr>
              <w:jc w:val="center"/>
            </w:pPr>
            <w:r w:rsidRPr="0084030A"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F2141" w14:textId="77777777" w:rsidR="00FC63CD" w:rsidRPr="0084030A" w:rsidRDefault="00FC63CD" w:rsidP="00302CA0">
            <w:pPr>
              <w:jc w:val="center"/>
            </w:pPr>
            <w:r w:rsidRPr="0084030A"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B73B5" w14:textId="77777777" w:rsidR="00FC63CD" w:rsidRPr="0084030A" w:rsidRDefault="00FC63CD" w:rsidP="00302CA0">
            <w:pPr>
              <w:jc w:val="center"/>
            </w:pPr>
            <w:r w:rsidRPr="0084030A"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2D054" w14:textId="77777777" w:rsidR="00FC63CD" w:rsidRPr="0084030A" w:rsidRDefault="00FC63CD" w:rsidP="00302CA0">
            <w:pPr>
              <w:jc w:val="center"/>
            </w:pPr>
            <w:r w:rsidRPr="0084030A">
              <w:t>36,4</w:t>
            </w:r>
          </w:p>
        </w:tc>
      </w:tr>
      <w:tr w:rsidR="00FC63CD" w:rsidRPr="008E6C23" w14:paraId="3F75CC15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B920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9F30B" w14:textId="77777777" w:rsidR="00FC63CD" w:rsidRPr="0084030A" w:rsidRDefault="00FC63CD" w:rsidP="00302CA0">
            <w:pPr>
              <w:jc w:val="center"/>
            </w:pPr>
            <w:r w:rsidRPr="0084030A"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DAE8F" w14:textId="77777777" w:rsidR="00FC63CD" w:rsidRPr="0084030A" w:rsidRDefault="00FC63CD" w:rsidP="00302CA0">
            <w:pPr>
              <w:jc w:val="center"/>
            </w:pPr>
            <w:r w:rsidRPr="0084030A"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E7B51" w14:textId="77777777" w:rsidR="00FC63CD" w:rsidRPr="0084030A" w:rsidRDefault="00FC63CD" w:rsidP="00302CA0">
            <w:pPr>
              <w:jc w:val="center"/>
            </w:pPr>
            <w:r w:rsidRPr="0084030A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DA452" w14:textId="77777777" w:rsidR="00FC63CD" w:rsidRPr="0084030A" w:rsidRDefault="00FC63CD" w:rsidP="00302CA0">
            <w:pPr>
              <w:jc w:val="center"/>
            </w:pPr>
            <w:r w:rsidRPr="0084030A">
              <w:t>12,5</w:t>
            </w:r>
          </w:p>
        </w:tc>
      </w:tr>
      <w:tr w:rsidR="00FC63CD" w:rsidRPr="008E6C23" w14:paraId="774AB122" w14:textId="77777777" w:rsidTr="00302CA0">
        <w:trPr>
          <w:trHeight w:val="6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29DB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836F" w14:textId="77777777" w:rsidR="00FC63CD" w:rsidRPr="0084030A" w:rsidRDefault="00FC63CD" w:rsidP="00302CA0">
            <w:pPr>
              <w:jc w:val="center"/>
            </w:pPr>
            <w:r w:rsidRPr="0084030A"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42119" w14:textId="77777777" w:rsidR="00FC63CD" w:rsidRPr="0084030A" w:rsidRDefault="00FC63CD" w:rsidP="00302CA0">
            <w:pPr>
              <w:jc w:val="center"/>
            </w:pPr>
            <w:r w:rsidRPr="0084030A"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6ABE0" w14:textId="77777777" w:rsidR="00FC63CD" w:rsidRPr="0084030A" w:rsidRDefault="00FC63CD" w:rsidP="00302CA0">
            <w:pPr>
              <w:jc w:val="center"/>
            </w:pPr>
            <w:r w:rsidRPr="0084030A"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C8A83" w14:textId="77777777" w:rsidR="00FC63CD" w:rsidRPr="0084030A" w:rsidRDefault="00FC63CD" w:rsidP="00302CA0">
            <w:pPr>
              <w:jc w:val="center"/>
            </w:pPr>
            <w:r w:rsidRPr="0084030A">
              <w:t>80,0</w:t>
            </w:r>
          </w:p>
        </w:tc>
      </w:tr>
      <w:tr w:rsidR="00FC63CD" w:rsidRPr="008E6C23" w14:paraId="4A776193" w14:textId="77777777" w:rsidTr="00302CA0">
        <w:trPr>
          <w:trHeight w:val="342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54C6" w14:textId="77777777" w:rsidR="00FC63CD" w:rsidRPr="008E6C23" w:rsidRDefault="00FC63CD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2E74C" w14:textId="77777777" w:rsidR="00FC63CD" w:rsidRPr="0084030A" w:rsidRDefault="00FC63CD" w:rsidP="00302CA0">
            <w:pPr>
              <w:jc w:val="center"/>
            </w:pPr>
            <w:r w:rsidRPr="0084030A">
              <w:t>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057BB" w14:textId="77777777" w:rsidR="00FC63CD" w:rsidRPr="0084030A" w:rsidRDefault="00FC63CD" w:rsidP="00302CA0">
            <w:pPr>
              <w:jc w:val="center"/>
            </w:pPr>
            <w:r w:rsidRPr="0084030A">
              <w:t>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26400" w14:textId="77777777" w:rsidR="00FC63CD" w:rsidRPr="0084030A" w:rsidRDefault="00FC63CD" w:rsidP="00302CA0">
            <w:pPr>
              <w:jc w:val="center"/>
            </w:pPr>
            <w:r w:rsidRPr="0084030A"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2F6EA" w14:textId="77777777" w:rsidR="00FC63CD" w:rsidRDefault="00FC63CD" w:rsidP="00302CA0">
            <w:pPr>
              <w:jc w:val="center"/>
            </w:pPr>
            <w:r w:rsidRPr="0084030A">
              <w:t>26,3</w:t>
            </w:r>
          </w:p>
        </w:tc>
      </w:tr>
    </w:tbl>
    <w:p w14:paraId="60E72AD4" w14:textId="77777777" w:rsidR="00165E0C" w:rsidRDefault="00165E0C" w:rsidP="00FC63CD">
      <w:pPr>
        <w:spacing w:after="120"/>
        <w:rPr>
          <w:b/>
        </w:rPr>
      </w:pPr>
    </w:p>
    <w:p w14:paraId="31168F30" w14:textId="77777777" w:rsidR="00FC63CD" w:rsidRPr="00626B43" w:rsidRDefault="00FC63CD" w:rsidP="00FC63CD">
      <w:pPr>
        <w:spacing w:after="120"/>
        <w:rPr>
          <w:b/>
        </w:rPr>
      </w:pPr>
      <w:r w:rsidRPr="00626B43">
        <w:rPr>
          <w:b/>
        </w:rPr>
        <w:t>LA granty</w:t>
      </w:r>
    </w:p>
    <w:p w14:paraId="497FE4E0" w14:textId="77777777" w:rsidR="007D5987" w:rsidRDefault="00FC63CD" w:rsidP="00873D6E">
      <w:pPr>
        <w:spacing w:after="120"/>
        <w:ind w:firstLine="708"/>
      </w:pPr>
      <w:r>
        <w:t xml:space="preserve">Na základě rozhodnutí předsednictva rakouské grantové agentury Fonds zur Förderung der wissenschaftlichen Forschung (FWF) nebylo možné podávat návrhy rakousko-českých projektů základního výzkumu s počátkem řešení </w:t>
      </w:r>
      <w:r w:rsidR="002431A5">
        <w:t xml:space="preserve">v roce </w:t>
      </w:r>
      <w:r>
        <w:t>2018.</w:t>
      </w:r>
    </w:p>
    <w:p w14:paraId="4A7C474E" w14:textId="77777777" w:rsidR="00DF72FE" w:rsidRDefault="00DF72FE" w:rsidP="00873D6E">
      <w:pPr>
        <w:spacing w:after="120"/>
        <w:ind w:firstLine="708"/>
      </w:pPr>
      <w:r>
        <w:t xml:space="preserve">V prosinci 2017 byla vyhlášena nová společná výzva na podávání bilaterálních </w:t>
      </w:r>
      <w:r w:rsidRPr="00B146FF">
        <w:t>rakousko-</w:t>
      </w:r>
      <w:r w:rsidRPr="00B146FF">
        <w:rPr>
          <w:rFonts w:hint="eastAsia"/>
        </w:rPr>
        <w:t>č</w:t>
      </w:r>
      <w:r w:rsidRPr="00B146FF">
        <w:t>esk</w:t>
      </w:r>
      <w:r w:rsidRPr="00B146FF">
        <w:rPr>
          <w:rFonts w:hint="eastAsia"/>
        </w:rPr>
        <w:t>ý</w:t>
      </w:r>
      <w:r w:rsidRPr="00B146FF">
        <w:t>ch projekt</w:t>
      </w:r>
      <w:r w:rsidRPr="00B146FF">
        <w:rPr>
          <w:rFonts w:hint="eastAsia"/>
        </w:rPr>
        <w:t>ů</w:t>
      </w:r>
      <w:r w:rsidRPr="00B146FF">
        <w:t xml:space="preserve"> z</w:t>
      </w:r>
      <w:r w:rsidRPr="00B146FF">
        <w:rPr>
          <w:rFonts w:hint="eastAsia"/>
        </w:rPr>
        <w:t>á</w:t>
      </w:r>
      <w:r w:rsidRPr="00B146FF">
        <w:t>kladn</w:t>
      </w:r>
      <w:r w:rsidRPr="00B146FF">
        <w:rPr>
          <w:rFonts w:hint="eastAsia"/>
        </w:rPr>
        <w:t>í</w:t>
      </w:r>
      <w:r w:rsidRPr="00B146FF">
        <w:t>ho v</w:t>
      </w:r>
      <w:r w:rsidRPr="00B146FF">
        <w:rPr>
          <w:rFonts w:hint="eastAsia"/>
        </w:rPr>
        <w:t>ý</w:t>
      </w:r>
      <w:r w:rsidRPr="00B146FF">
        <w:t xml:space="preserve">zkumu </w:t>
      </w:r>
      <w:r>
        <w:t xml:space="preserve">s počátkem řešení v roce 2019. </w:t>
      </w:r>
      <w:r w:rsidRPr="00B146FF">
        <w:t>Konec lh</w:t>
      </w:r>
      <w:r w:rsidRPr="00B146FF">
        <w:rPr>
          <w:rFonts w:hint="eastAsia"/>
        </w:rPr>
        <w:t>ů</w:t>
      </w:r>
      <w:r w:rsidRPr="00B146FF">
        <w:t>ty pro</w:t>
      </w:r>
      <w:r w:rsidRPr="00B146FF">
        <w:rPr>
          <w:rFonts w:hint="eastAsia"/>
        </w:rPr>
        <w:t> </w:t>
      </w:r>
      <w:r w:rsidRPr="00B146FF">
        <w:t>pod</w:t>
      </w:r>
      <w:r w:rsidRPr="00B146FF">
        <w:rPr>
          <w:rFonts w:hint="eastAsia"/>
        </w:rPr>
        <w:t>á</w:t>
      </w:r>
      <w:r w:rsidRPr="00B146FF">
        <w:t>v</w:t>
      </w:r>
      <w:r w:rsidRPr="00B146FF">
        <w:rPr>
          <w:rFonts w:hint="eastAsia"/>
        </w:rPr>
        <w:t>á</w:t>
      </w:r>
      <w:r w:rsidRPr="00B146FF">
        <w:t>n</w:t>
      </w:r>
      <w:r w:rsidRPr="00B146FF">
        <w:rPr>
          <w:rFonts w:hint="eastAsia"/>
        </w:rPr>
        <w:t>í</w:t>
      </w:r>
      <w:r w:rsidRPr="00B146FF">
        <w:t xml:space="preserve"> n</w:t>
      </w:r>
      <w:r w:rsidRPr="00B146FF">
        <w:rPr>
          <w:rFonts w:hint="eastAsia"/>
        </w:rPr>
        <w:t>á</w:t>
      </w:r>
      <w:r w:rsidRPr="00B146FF">
        <w:t>vrh</w:t>
      </w:r>
      <w:r w:rsidRPr="00B146FF">
        <w:rPr>
          <w:rFonts w:hint="eastAsia"/>
        </w:rPr>
        <w:t>ů</w:t>
      </w:r>
      <w:r w:rsidRPr="00B146FF">
        <w:t xml:space="preserve"> projekt</w:t>
      </w:r>
      <w:r w:rsidRPr="00B146FF">
        <w:rPr>
          <w:rFonts w:hint="eastAsia"/>
        </w:rPr>
        <w:t>ů</w:t>
      </w:r>
      <w:r w:rsidRPr="00B146FF">
        <w:t xml:space="preserve"> byl</w:t>
      </w:r>
      <w:r w:rsidRPr="00B146FF">
        <w:rPr>
          <w:rFonts w:hint="eastAsia"/>
        </w:rPr>
        <w:t> </w:t>
      </w:r>
      <w:r w:rsidRPr="00B146FF">
        <w:t>16.</w:t>
      </w:r>
      <w:r w:rsidRPr="00B146FF">
        <w:rPr>
          <w:rFonts w:hint="eastAsia"/>
        </w:rPr>
        <w:t> </w:t>
      </w:r>
      <w:r w:rsidRPr="00B146FF">
        <w:t>b</w:t>
      </w:r>
      <w:r w:rsidRPr="00B146FF">
        <w:rPr>
          <w:rFonts w:hint="eastAsia"/>
        </w:rPr>
        <w:t>ř</w:t>
      </w:r>
      <w:r w:rsidRPr="00B146FF">
        <w:t>ez</w:t>
      </w:r>
      <w:r w:rsidR="002431A5">
        <w:t>en</w:t>
      </w:r>
      <w:r w:rsidRPr="00B146FF">
        <w:t xml:space="preserve"> 2018.</w:t>
      </w:r>
    </w:p>
    <w:p w14:paraId="1CC864B0" w14:textId="77777777" w:rsidR="00DF72FE" w:rsidRDefault="00DF72FE" w:rsidP="00B146FF">
      <w:pPr>
        <w:spacing w:after="120"/>
      </w:pPr>
    </w:p>
    <w:p w14:paraId="4ECB7640" w14:textId="77777777" w:rsidR="00DF72FE" w:rsidRPr="00B146FF" w:rsidRDefault="00DF72FE" w:rsidP="00B146FF">
      <w:pPr>
        <w:spacing w:after="120"/>
        <w:rPr>
          <w:b/>
        </w:rPr>
      </w:pPr>
      <w:r w:rsidRPr="00B146FF">
        <w:rPr>
          <w:b/>
        </w:rPr>
        <w:t>Úspěšnost</w:t>
      </w:r>
    </w:p>
    <w:p w14:paraId="6E844592" w14:textId="6C9954E7" w:rsidR="00EF64C8" w:rsidRDefault="007D5987" w:rsidP="007D5987">
      <w:pPr>
        <w:spacing w:after="120"/>
        <w:ind w:firstLine="708"/>
      </w:pPr>
      <w:r>
        <w:t xml:space="preserve">Úspěšnost </w:t>
      </w:r>
      <w:r w:rsidR="00DF72FE">
        <w:t xml:space="preserve">u </w:t>
      </w:r>
      <w:r>
        <w:t xml:space="preserve">grantových projektů </w:t>
      </w:r>
      <w:r w:rsidR="00D03B65">
        <w:t xml:space="preserve">bohužel </w:t>
      </w:r>
      <w:r w:rsidR="00734AA3">
        <w:t>po</w:t>
      </w:r>
      <w:r>
        <w:t>klesla</w:t>
      </w:r>
      <w:r w:rsidR="00734AA3">
        <w:t xml:space="preserve"> (u projektů s počátkem řešení v roce 2018)</w:t>
      </w:r>
      <w:r>
        <w:t xml:space="preserve"> </w:t>
      </w:r>
      <w:r w:rsidR="00734AA3">
        <w:t xml:space="preserve">u standardních projektů </w:t>
      </w:r>
      <w:r>
        <w:t xml:space="preserve">z loňských </w:t>
      </w:r>
      <w:r w:rsidR="00734AA3">
        <w:t xml:space="preserve">33,1 % na </w:t>
      </w:r>
      <w:r w:rsidR="001113F2">
        <w:t xml:space="preserve">26,6 %; </w:t>
      </w:r>
      <w:r w:rsidR="008D6BB3">
        <w:br/>
      </w:r>
      <w:r w:rsidR="001113F2">
        <w:t>u juniorských projektů z</w:t>
      </w:r>
      <w:r w:rsidR="00734AA3">
        <w:t> 36,5 % v roce 2016 na 27,1 % v roce 2017. Tyto výsledky byly především ovlivněny objemem finančních prostředků poskytnutých GA ČR.</w:t>
      </w:r>
    </w:p>
    <w:p w14:paraId="636DE773" w14:textId="4F1E6289" w:rsidR="001113F2" w:rsidRDefault="001113F2" w:rsidP="005C3390">
      <w:r>
        <w:t xml:space="preserve">Důležitým momentem – i signálem pro odbornou veřejnost – je prošetření důvodů </w:t>
      </w:r>
      <w:r w:rsidR="008D6BB3">
        <w:br/>
      </w:r>
      <w:r w:rsidRPr="00F376DF">
        <w:rPr>
          <w:b/>
        </w:rPr>
        <w:t>pro nepřijetí projektů nebo jejich vyřazení ze soutěže</w:t>
      </w:r>
      <w:r>
        <w:t>. V tomto období jejich počet oproti minulému klesl. Konkrétně to bylo:</w:t>
      </w:r>
    </w:p>
    <w:p w14:paraId="0A5518E6" w14:textId="77777777" w:rsidR="001113F2" w:rsidRDefault="001113F2" w:rsidP="005C3390">
      <w:pPr>
        <w:spacing w:after="120"/>
      </w:pPr>
    </w:p>
    <w:p w14:paraId="7DA8D52A" w14:textId="33BD1A45" w:rsidR="00EC4356" w:rsidRPr="00F376DF" w:rsidRDefault="001113F2" w:rsidP="005C3390">
      <w:pPr>
        <w:spacing w:after="120"/>
      </w:pPr>
      <w:r w:rsidRPr="00F376DF">
        <w:rPr>
          <w:b/>
        </w:rPr>
        <w:lastRenderedPageBreak/>
        <w:t>U s</w:t>
      </w:r>
      <w:r w:rsidR="00EC4356" w:rsidRPr="00F376DF">
        <w:rPr>
          <w:b/>
        </w:rPr>
        <w:t>tandardní</w:t>
      </w:r>
      <w:r w:rsidRPr="00F376DF">
        <w:rPr>
          <w:b/>
        </w:rPr>
        <w:t>ch projektů</w:t>
      </w:r>
      <w:r w:rsidRPr="00F376DF">
        <w:t xml:space="preserve"> bylo p</w:t>
      </w:r>
      <w:r w:rsidR="00EC4356" w:rsidRPr="00F376DF">
        <w:t xml:space="preserve">ředloženo celkem 2067 návrhů projektů, vyřazeno </w:t>
      </w:r>
      <w:r w:rsidRPr="00F376DF">
        <w:t xml:space="preserve">bylo </w:t>
      </w:r>
      <w:r w:rsidR="00EC4356" w:rsidRPr="00F376DF">
        <w:t>5 návrhů projektů</w:t>
      </w:r>
      <w:r w:rsidR="00F376DF" w:rsidRPr="00F376DF">
        <w:t xml:space="preserve"> (oproti 18 projektů</w:t>
      </w:r>
      <w:r w:rsidR="006B2301">
        <w:t>m</w:t>
      </w:r>
      <w:r w:rsidR="00F376DF" w:rsidRPr="00F376DF">
        <w:t xml:space="preserve"> v roce </w:t>
      </w:r>
      <w:r w:rsidR="005C3390">
        <w:t>2017). Důvody:</w:t>
      </w:r>
    </w:p>
    <w:p w14:paraId="5106B381" w14:textId="77777777" w:rsidR="00EC4356" w:rsidRPr="00F376DF" w:rsidRDefault="00EC4356" w:rsidP="005C3390">
      <w:pPr>
        <w:spacing w:after="120"/>
      </w:pPr>
      <w:r w:rsidRPr="00F376DF">
        <w:t xml:space="preserve">4x </w:t>
      </w:r>
      <w:r w:rsidR="001113F2" w:rsidRPr="00F376DF">
        <w:t xml:space="preserve">– </w:t>
      </w:r>
      <w:r w:rsidRPr="00F376DF">
        <w:t>navrhovatel nebo spolunavrhovatel podal</w:t>
      </w:r>
      <w:r w:rsidR="001113F2" w:rsidRPr="00F376DF">
        <w:t>i</w:t>
      </w:r>
      <w:r w:rsidRPr="00F376DF">
        <w:t xml:space="preserve"> </w:t>
      </w:r>
      <w:r w:rsidR="001113F2" w:rsidRPr="00F376DF">
        <w:t xml:space="preserve">(nepřípustně) </w:t>
      </w:r>
      <w:r w:rsidRPr="00F376DF">
        <w:t>více návrhů projektů v rámci všech soutěží vyhlašovaných GA ČR v daném roce</w:t>
      </w:r>
    </w:p>
    <w:p w14:paraId="09213076" w14:textId="77777777" w:rsidR="00EC4356" w:rsidRPr="00F376DF" w:rsidRDefault="00EC4356" w:rsidP="005C3390">
      <w:pPr>
        <w:spacing w:after="120"/>
      </w:pPr>
      <w:r w:rsidRPr="00F376DF">
        <w:t xml:space="preserve">1x </w:t>
      </w:r>
      <w:r w:rsidR="001113F2" w:rsidRPr="00F376DF">
        <w:t xml:space="preserve">– </w:t>
      </w:r>
      <w:r w:rsidRPr="00F376DF">
        <w:t xml:space="preserve">část D1 </w:t>
      </w:r>
      <w:r w:rsidR="001113F2" w:rsidRPr="00F376DF">
        <w:t xml:space="preserve">návrhu projektu byla </w:t>
      </w:r>
      <w:r w:rsidRPr="00F376DF">
        <w:t>přiložena v nepovoleném jazyce</w:t>
      </w:r>
    </w:p>
    <w:p w14:paraId="594CD51D" w14:textId="77777777" w:rsidR="00EC4356" w:rsidRPr="00F376DF" w:rsidRDefault="00EC4356" w:rsidP="005C3390">
      <w:pPr>
        <w:spacing w:after="120"/>
      </w:pPr>
    </w:p>
    <w:p w14:paraId="7398A6DA" w14:textId="77777777" w:rsidR="00EC4356" w:rsidRPr="00F376DF" w:rsidRDefault="001113F2" w:rsidP="005C3390">
      <w:pPr>
        <w:spacing w:after="120"/>
      </w:pPr>
      <w:r w:rsidRPr="00F376DF">
        <w:t xml:space="preserve">U </w:t>
      </w:r>
      <w:r w:rsidRPr="005C3390">
        <w:rPr>
          <w:b/>
        </w:rPr>
        <w:t>j</w:t>
      </w:r>
      <w:r w:rsidR="00F376DF" w:rsidRPr="005C3390">
        <w:rPr>
          <w:b/>
        </w:rPr>
        <w:t>uniorských projektů</w:t>
      </w:r>
      <w:r w:rsidR="00F376DF" w:rsidRPr="00F376DF">
        <w:t xml:space="preserve"> bylo p</w:t>
      </w:r>
      <w:r w:rsidR="00EC4356" w:rsidRPr="00F376DF">
        <w:t>ředloženo celkem 263 návrhů projektů, vyřazeno 11 návrhů projektů a u 1 návrhu projektu uchazeč oznámil poskytovateli v průběhu soutěžní lhůty odstoupení ze soutěže</w:t>
      </w:r>
      <w:r w:rsidR="00F376DF" w:rsidRPr="00F376DF">
        <w:t xml:space="preserve"> (oproti 17 návrhům v roce 2017).</w:t>
      </w:r>
      <w:r w:rsidR="005C3390">
        <w:t xml:space="preserve"> Důvody:</w:t>
      </w:r>
    </w:p>
    <w:p w14:paraId="4245F9EC" w14:textId="77777777" w:rsidR="00EC4356" w:rsidRPr="00F376DF" w:rsidRDefault="00EC4356" w:rsidP="005C3390">
      <w:pPr>
        <w:spacing w:after="120"/>
      </w:pPr>
      <w:r w:rsidRPr="00F376DF">
        <w:t xml:space="preserve">11x  </w:t>
      </w:r>
      <w:r w:rsidR="00F376DF" w:rsidRPr="00F376DF">
        <w:t xml:space="preserve">– </w:t>
      </w:r>
      <w:r w:rsidRPr="00F376DF">
        <w:t>navrhovatel nesplňoval všechny podmínky pro juniorské projekty</w:t>
      </w:r>
    </w:p>
    <w:p w14:paraId="1191AEF9" w14:textId="77777777" w:rsidR="00EC4356" w:rsidRPr="00F376DF" w:rsidRDefault="00EC4356" w:rsidP="005C3390">
      <w:pPr>
        <w:spacing w:after="120"/>
      </w:pPr>
    </w:p>
    <w:p w14:paraId="1CF250F0" w14:textId="7E0DAA3C" w:rsidR="00EC4356" w:rsidRPr="00F376DF" w:rsidRDefault="00F376DF" w:rsidP="005C3390">
      <w:pPr>
        <w:spacing w:after="120"/>
      </w:pPr>
      <w:r w:rsidRPr="00F376DF">
        <w:t xml:space="preserve">U </w:t>
      </w:r>
      <w:r w:rsidRPr="005C3390">
        <w:rPr>
          <w:b/>
        </w:rPr>
        <w:t>m</w:t>
      </w:r>
      <w:r w:rsidR="00EC4356" w:rsidRPr="005C3390">
        <w:rPr>
          <w:b/>
        </w:rPr>
        <w:t>ezinárodní</w:t>
      </w:r>
      <w:r w:rsidRPr="005C3390">
        <w:rPr>
          <w:b/>
        </w:rPr>
        <w:t xml:space="preserve">ch projektů </w:t>
      </w:r>
      <w:r w:rsidRPr="00F376DF">
        <w:t>bylo p</w:t>
      </w:r>
      <w:r w:rsidR="00EC4356" w:rsidRPr="00F376DF">
        <w:t>ředloženo celkem 78 návrh</w:t>
      </w:r>
      <w:r w:rsidRPr="00F376DF">
        <w:t>ů projektů a u 2 návrhů projektů</w:t>
      </w:r>
      <w:r w:rsidR="00EC4356" w:rsidRPr="00F376DF">
        <w:t xml:space="preserve"> uchazeč oznámil poskytovateli v průběhu soutěžní lhůty odstoupení </w:t>
      </w:r>
      <w:r w:rsidR="008D6BB3">
        <w:br/>
      </w:r>
      <w:r w:rsidR="00EC4356" w:rsidRPr="00F376DF">
        <w:t>ze soutěže</w:t>
      </w:r>
      <w:r w:rsidRPr="00F376DF">
        <w:t xml:space="preserve"> (oproti minulému roku, kdy bylo 20 projektů vyřazeno proto, že je nedoporučil zahraniční poskytovatel).</w:t>
      </w:r>
    </w:p>
    <w:p w14:paraId="1717CFCC" w14:textId="51349548" w:rsidR="00EC4356" w:rsidRDefault="006B2301" w:rsidP="005C3390">
      <w:pPr>
        <w:spacing w:after="120"/>
      </w:pPr>
      <w:r w:rsidRPr="006B2301">
        <w:rPr>
          <w:b/>
        </w:rPr>
        <w:t>EXPRO projekty</w:t>
      </w:r>
      <w:r>
        <w:t xml:space="preserve"> bylo předloženo celkem 185 projektů v soutěžní lhůtě do 28. 6. 2018.</w:t>
      </w:r>
    </w:p>
    <w:p w14:paraId="77A4F0A8" w14:textId="77777777" w:rsidR="006B2301" w:rsidRDefault="006B2301" w:rsidP="005C3390">
      <w:pPr>
        <w:spacing w:after="120"/>
      </w:pPr>
      <w:r w:rsidRPr="00AB42C4">
        <w:t>GA ČR vyhlásila soutěž v této kategorii projektů v tomto roce poprvé</w:t>
      </w:r>
      <w:r>
        <w:t xml:space="preserve">. </w:t>
      </w:r>
    </w:p>
    <w:p w14:paraId="2CECCDE3" w14:textId="75C73E10" w:rsidR="006B2301" w:rsidRPr="00F376DF" w:rsidRDefault="006B2301" w:rsidP="005C3390">
      <w:pPr>
        <w:spacing w:after="120"/>
      </w:pPr>
      <w:r>
        <w:t>(</w:t>
      </w:r>
      <w:r w:rsidRPr="006B2301">
        <w:t>EXPRO projekty</w:t>
      </w:r>
      <w:r w:rsidRPr="00D96E17">
        <w:t>, jejichž cílem je vytvářet podmínky pro rozvoj excelentního výzkumu, nastavit standardy excelentní vědy a také napomoci překonat bariéry, které snižují úspěch projektových návrhů ERC a umožnit tak nabytí potřebných znalostí a zkušeností, které se zhodnotí při podávání vysoce prestižních</w:t>
      </w:r>
      <w:r w:rsidRPr="00AB42C4">
        <w:t xml:space="preserve"> evropských grantů.</w:t>
      </w:r>
      <w:r>
        <w:t>)</w:t>
      </w:r>
    </w:p>
    <w:p w14:paraId="078B78F7" w14:textId="77777777" w:rsidR="00302CA0" w:rsidRDefault="00FC63CD" w:rsidP="005C3390">
      <w:r w:rsidRPr="00F376DF">
        <w:t xml:space="preserve">Celkově lze shrnout, že hodnocení žádostí o udělení grantu v GA ČR probíhalo </w:t>
      </w:r>
      <w:r w:rsidRPr="00F376DF">
        <w:rPr>
          <w:b/>
        </w:rPr>
        <w:t>podle jejich odborné kvality a přiměřenosti</w:t>
      </w:r>
      <w:r w:rsidRPr="0091006A">
        <w:rPr>
          <w:b/>
        </w:rPr>
        <w:t xml:space="preserve"> finančních požadavků</w:t>
      </w:r>
      <w:r w:rsidRPr="0091006A">
        <w:t>.</w:t>
      </w:r>
      <w:r w:rsidR="002431A5">
        <w:t xml:space="preserve"> </w:t>
      </w:r>
    </w:p>
    <w:p w14:paraId="0CAC4385" w14:textId="77777777" w:rsidR="00302CA0" w:rsidRDefault="00302CA0" w:rsidP="005C3390">
      <w:pPr>
        <w:pStyle w:val="Bezmezer"/>
      </w:pPr>
    </w:p>
    <w:p w14:paraId="47A70A1A" w14:textId="1A31F522" w:rsidR="00302CA0" w:rsidRPr="0091006A" w:rsidRDefault="00302CA0" w:rsidP="005C3390">
      <w:pPr>
        <w:pStyle w:val="Odstavecseseznamem"/>
        <w:numPr>
          <w:ilvl w:val="0"/>
          <w:numId w:val="3"/>
        </w:numPr>
        <w:spacing w:after="120" w:line="240" w:lineRule="auto"/>
        <w:ind w:left="0" w:hanging="357"/>
        <w:rPr>
          <w:b/>
        </w:rPr>
      </w:pPr>
      <w:r w:rsidRPr="0091006A">
        <w:rPr>
          <w:b/>
        </w:rPr>
        <w:t xml:space="preserve">Hodnocení </w:t>
      </w:r>
      <w:r w:rsidR="00F124D2">
        <w:rPr>
          <w:b/>
        </w:rPr>
        <w:t>dílčích</w:t>
      </w:r>
      <w:r w:rsidR="00F124D2" w:rsidRPr="0091006A">
        <w:rPr>
          <w:b/>
        </w:rPr>
        <w:t xml:space="preserve"> </w:t>
      </w:r>
      <w:r w:rsidRPr="0091006A">
        <w:rPr>
          <w:b/>
        </w:rPr>
        <w:t>zpráv řešených projektů, které</w:t>
      </w:r>
      <w:r>
        <w:rPr>
          <w:b/>
        </w:rPr>
        <w:t xml:space="preserve"> probíhalo převážně v únoru a v březnu 2018</w:t>
      </w:r>
    </w:p>
    <w:p w14:paraId="6E3B578B" w14:textId="50D231EC" w:rsidR="00302CA0" w:rsidRPr="0091006A" w:rsidRDefault="00302CA0" w:rsidP="00302CA0">
      <w:pPr>
        <w:spacing w:after="120"/>
        <w:contextualSpacing/>
      </w:pPr>
      <w:r w:rsidRPr="0091006A">
        <w:tab/>
        <w:t xml:space="preserve">K hodnocení </w:t>
      </w:r>
      <w:r w:rsidR="00D93434">
        <w:t>dílčích</w:t>
      </w:r>
      <w:r w:rsidR="00D93434" w:rsidRPr="0091006A">
        <w:t xml:space="preserve"> </w:t>
      </w:r>
      <w:r w:rsidRPr="0091006A">
        <w:t xml:space="preserve">zpráv řešených projektů dochází </w:t>
      </w:r>
      <w:r w:rsidRPr="0066582B">
        <w:rPr>
          <w:b/>
        </w:rPr>
        <w:t>nejprve v odborných panelech, následně v oborových komisích</w:t>
      </w:r>
      <w:r w:rsidRPr="0091006A">
        <w:t xml:space="preserve"> a závěrečné finální </w:t>
      </w:r>
      <w:r w:rsidRPr="0066582B">
        <w:rPr>
          <w:b/>
        </w:rPr>
        <w:t>u</w:t>
      </w:r>
      <w:r w:rsidR="005C3390">
        <w:rPr>
          <w:b/>
        </w:rPr>
        <w:t xml:space="preserve">zavření hodnocení je provedeno </w:t>
      </w:r>
      <w:r w:rsidR="001F7A48">
        <w:rPr>
          <w:b/>
        </w:rPr>
        <w:t>p</w:t>
      </w:r>
      <w:r w:rsidR="001F7A48" w:rsidRPr="0066582B">
        <w:rPr>
          <w:b/>
        </w:rPr>
        <w:t>ředsednictvem</w:t>
      </w:r>
      <w:r w:rsidRPr="0091006A">
        <w:t xml:space="preserve">. Výsledky hodnocení </w:t>
      </w:r>
      <w:r w:rsidR="00D93434">
        <w:t>dílčích</w:t>
      </w:r>
      <w:r w:rsidR="00D93434" w:rsidRPr="0091006A">
        <w:t xml:space="preserve"> </w:t>
      </w:r>
      <w:r w:rsidRPr="0091006A">
        <w:t>zpráv řešených projektů shrnují následující tabulky:</w:t>
      </w:r>
    </w:p>
    <w:p w14:paraId="759A5000" w14:textId="77777777" w:rsidR="00302CA0" w:rsidRPr="0091006A" w:rsidRDefault="00302CA0" w:rsidP="00302CA0">
      <w:pPr>
        <w:tabs>
          <w:tab w:val="left" w:pos="6804"/>
        </w:tabs>
        <w:spacing w:after="120"/>
        <w:ind w:firstLine="708"/>
        <w:contextualSpacing/>
      </w:pPr>
    </w:p>
    <w:p w14:paraId="3B95987D" w14:textId="77777777" w:rsidR="008D6BB3" w:rsidRDefault="008D6BB3" w:rsidP="00302CA0">
      <w:pPr>
        <w:spacing w:after="120"/>
        <w:ind w:left="414"/>
        <w:contextualSpacing/>
        <w:jc w:val="center"/>
        <w:rPr>
          <w:b/>
        </w:rPr>
      </w:pPr>
    </w:p>
    <w:p w14:paraId="45E7E26E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3DA479E7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53599FEC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45B51CB7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30B353D2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6D4DF65A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3BFC0E68" w14:textId="44863FE4" w:rsidR="00302CA0" w:rsidRDefault="00302CA0" w:rsidP="006965F8">
      <w:pPr>
        <w:spacing w:after="120"/>
        <w:ind w:left="414"/>
        <w:contextualSpacing/>
        <w:rPr>
          <w:b/>
        </w:rPr>
      </w:pPr>
      <w:r w:rsidRPr="008E6C23">
        <w:rPr>
          <w:b/>
        </w:rPr>
        <w:t>Standardní projekty</w:t>
      </w:r>
    </w:p>
    <w:p w14:paraId="4FC16FBE" w14:textId="77777777" w:rsidR="00302CA0" w:rsidRPr="008E6C23" w:rsidRDefault="00302CA0" w:rsidP="00302CA0">
      <w:pPr>
        <w:spacing w:after="120"/>
        <w:ind w:left="414"/>
        <w:contextualSpacing/>
        <w:jc w:val="center"/>
        <w:rPr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120"/>
        <w:gridCol w:w="1560"/>
        <w:gridCol w:w="1560"/>
        <w:gridCol w:w="1340"/>
      </w:tblGrid>
      <w:tr w:rsidR="00302CA0" w:rsidRPr="008E6C23" w14:paraId="6E3A17D2" w14:textId="77777777" w:rsidTr="00302CA0">
        <w:trPr>
          <w:trHeight w:val="34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9C32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11A4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947F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 xml:space="preserve">Splněno </w:t>
            </w:r>
            <w:r w:rsidRPr="008E6C23">
              <w:rPr>
                <w:rFonts w:eastAsia="Times New Roman"/>
                <w:color w:val="000000"/>
                <w:lang w:eastAsia="cs-CZ"/>
              </w:rPr>
              <w:br/>
              <w:t>s výhradou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B6C2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Zastaveno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31C85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</w:tr>
      <w:tr w:rsidR="00302CA0" w:rsidRPr="008E6C23" w14:paraId="6843A3D1" w14:textId="77777777" w:rsidTr="00302CA0">
        <w:trPr>
          <w:trHeight w:val="458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0B6B8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E8C2F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4AAA8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3E918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1ED26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02CA0" w:rsidRPr="008E6C23" w14:paraId="7A4F548C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810A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316A0" w14:textId="77777777" w:rsidR="00302CA0" w:rsidRPr="00192161" w:rsidRDefault="00302CA0" w:rsidP="00302CA0">
            <w:pPr>
              <w:jc w:val="center"/>
            </w:pPr>
            <w:r w:rsidRPr="00192161"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7E899" w14:textId="77777777" w:rsidR="00302CA0" w:rsidRPr="00192161" w:rsidRDefault="00302CA0" w:rsidP="00302CA0">
            <w:pPr>
              <w:jc w:val="center"/>
            </w:pPr>
            <w:r w:rsidRPr="00192161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2DB6D" w14:textId="77777777" w:rsidR="00302CA0" w:rsidRPr="00192161" w:rsidRDefault="00302CA0" w:rsidP="00302CA0">
            <w:pPr>
              <w:jc w:val="center"/>
            </w:pPr>
            <w:r w:rsidRPr="00192161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88DA9" w14:textId="77777777" w:rsidR="00302CA0" w:rsidRPr="00192161" w:rsidRDefault="00302CA0" w:rsidP="00302CA0">
            <w:pPr>
              <w:jc w:val="center"/>
            </w:pPr>
            <w:r w:rsidRPr="00192161">
              <w:t>235</w:t>
            </w:r>
          </w:p>
        </w:tc>
      </w:tr>
      <w:tr w:rsidR="00302CA0" w:rsidRPr="008E6C23" w14:paraId="23F14E65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7BFD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07FF0" w14:textId="77777777" w:rsidR="00302CA0" w:rsidRPr="00192161" w:rsidRDefault="00302CA0" w:rsidP="00302CA0">
            <w:pPr>
              <w:jc w:val="center"/>
            </w:pPr>
            <w:r w:rsidRPr="00192161"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8EAA9" w14:textId="77777777" w:rsidR="00302CA0" w:rsidRPr="00192161" w:rsidRDefault="00302CA0" w:rsidP="00302CA0">
            <w:pPr>
              <w:jc w:val="center"/>
            </w:pPr>
            <w:r w:rsidRPr="00192161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F3262" w14:textId="77777777" w:rsidR="00302CA0" w:rsidRPr="00192161" w:rsidRDefault="00302CA0" w:rsidP="00302CA0">
            <w:pPr>
              <w:jc w:val="center"/>
            </w:pPr>
            <w:r w:rsidRPr="0019216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C9D09" w14:textId="77777777" w:rsidR="00302CA0" w:rsidRPr="00192161" w:rsidRDefault="00302CA0" w:rsidP="00302CA0">
            <w:pPr>
              <w:jc w:val="center"/>
            </w:pPr>
            <w:r w:rsidRPr="00192161">
              <w:t>236</w:t>
            </w:r>
          </w:p>
        </w:tc>
      </w:tr>
      <w:tr w:rsidR="00302CA0" w:rsidRPr="008E6C23" w14:paraId="0CD82860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3049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E582F" w14:textId="77777777" w:rsidR="00302CA0" w:rsidRPr="00192161" w:rsidRDefault="00302CA0" w:rsidP="00302CA0">
            <w:pPr>
              <w:jc w:val="center"/>
            </w:pPr>
            <w:r w:rsidRPr="00192161"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9B9B3" w14:textId="77777777" w:rsidR="00302CA0" w:rsidRPr="00192161" w:rsidRDefault="00302CA0" w:rsidP="00302CA0">
            <w:pPr>
              <w:jc w:val="center"/>
            </w:pPr>
            <w:r w:rsidRPr="00192161"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5CB77" w14:textId="77777777" w:rsidR="00302CA0" w:rsidRPr="00192161" w:rsidRDefault="00302CA0" w:rsidP="00302CA0">
            <w:pPr>
              <w:jc w:val="center"/>
            </w:pPr>
            <w:r w:rsidRPr="0019216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B59FE" w14:textId="77777777" w:rsidR="00302CA0" w:rsidRPr="00192161" w:rsidRDefault="00302CA0" w:rsidP="00302CA0">
            <w:pPr>
              <w:jc w:val="center"/>
            </w:pPr>
            <w:r w:rsidRPr="00192161">
              <w:t>171</w:t>
            </w:r>
          </w:p>
        </w:tc>
      </w:tr>
      <w:tr w:rsidR="00302CA0" w:rsidRPr="008E6C23" w14:paraId="36169F08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A475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EF9D3" w14:textId="77777777" w:rsidR="00302CA0" w:rsidRPr="00192161" w:rsidRDefault="00302CA0" w:rsidP="00302CA0">
            <w:pPr>
              <w:jc w:val="center"/>
            </w:pPr>
            <w:r w:rsidRPr="00192161"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0997" w14:textId="77777777" w:rsidR="00302CA0" w:rsidRPr="00192161" w:rsidRDefault="00302CA0" w:rsidP="00302CA0">
            <w:pPr>
              <w:jc w:val="center"/>
            </w:pPr>
            <w:r w:rsidRPr="00192161"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3BC18" w14:textId="77777777" w:rsidR="00302CA0" w:rsidRPr="00192161" w:rsidRDefault="00302CA0" w:rsidP="00302CA0">
            <w:pPr>
              <w:jc w:val="center"/>
            </w:pPr>
            <w:r w:rsidRPr="00192161"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3E78B" w14:textId="77777777" w:rsidR="00302CA0" w:rsidRPr="00192161" w:rsidRDefault="00302CA0" w:rsidP="00302CA0">
            <w:pPr>
              <w:jc w:val="center"/>
            </w:pPr>
            <w:r w:rsidRPr="00192161">
              <w:t>393</w:t>
            </w:r>
          </w:p>
        </w:tc>
      </w:tr>
      <w:tr w:rsidR="00302CA0" w:rsidRPr="008E6C23" w14:paraId="0C77CD42" w14:textId="77777777" w:rsidTr="00302CA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C016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lastRenderedPageBreak/>
              <w:t>zemědělské a biologicko-environmentální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8DF16" w14:textId="77777777" w:rsidR="00302CA0" w:rsidRPr="00192161" w:rsidRDefault="00302CA0" w:rsidP="00302CA0">
            <w:pPr>
              <w:jc w:val="center"/>
            </w:pPr>
            <w:r w:rsidRPr="00192161"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339B0" w14:textId="77777777" w:rsidR="00302CA0" w:rsidRPr="00192161" w:rsidRDefault="00302CA0" w:rsidP="00302CA0">
            <w:pPr>
              <w:jc w:val="center"/>
            </w:pPr>
            <w:r w:rsidRPr="00192161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907F4" w14:textId="77777777" w:rsidR="00302CA0" w:rsidRPr="00192161" w:rsidRDefault="00302CA0" w:rsidP="00302CA0">
            <w:pPr>
              <w:jc w:val="center"/>
            </w:pPr>
            <w:r w:rsidRPr="0019216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2EE97" w14:textId="77777777" w:rsidR="00302CA0" w:rsidRPr="00192161" w:rsidRDefault="00302CA0" w:rsidP="00302CA0">
            <w:pPr>
              <w:jc w:val="center"/>
            </w:pPr>
            <w:r w:rsidRPr="00192161">
              <w:t>173</w:t>
            </w:r>
          </w:p>
        </w:tc>
      </w:tr>
      <w:tr w:rsidR="00302CA0" w:rsidRPr="008E6C23" w14:paraId="40866A68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0B81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84C58" w14:textId="77777777" w:rsidR="00302CA0" w:rsidRPr="00192161" w:rsidRDefault="00302CA0" w:rsidP="00302CA0">
            <w:pPr>
              <w:jc w:val="center"/>
            </w:pPr>
            <w:r w:rsidRPr="00192161">
              <w:t>1092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5CF2A" w14:textId="77777777" w:rsidR="00302CA0" w:rsidRPr="00192161" w:rsidRDefault="00302CA0" w:rsidP="00302CA0">
            <w:pPr>
              <w:jc w:val="center"/>
            </w:pPr>
            <w:r w:rsidRPr="00192161"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9808E" w14:textId="77777777" w:rsidR="00302CA0" w:rsidRPr="00192161" w:rsidRDefault="00302CA0" w:rsidP="00302CA0">
            <w:pPr>
              <w:jc w:val="center"/>
            </w:pPr>
            <w:r w:rsidRPr="00192161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5C2FF" w14:textId="77777777" w:rsidR="00302CA0" w:rsidRDefault="00302CA0" w:rsidP="00302CA0">
            <w:pPr>
              <w:jc w:val="center"/>
            </w:pPr>
            <w:r w:rsidRPr="00192161">
              <w:t>1208</w:t>
            </w:r>
          </w:p>
        </w:tc>
      </w:tr>
    </w:tbl>
    <w:p w14:paraId="7FACF358" w14:textId="77777777" w:rsidR="00302CA0" w:rsidRPr="008E6C23" w:rsidRDefault="00302CA0" w:rsidP="00302CA0">
      <w:pPr>
        <w:spacing w:after="120"/>
        <w:ind w:left="414"/>
        <w:contextualSpacing/>
        <w:jc w:val="center"/>
        <w:rPr>
          <w:color w:val="00B050"/>
        </w:rPr>
      </w:pPr>
    </w:p>
    <w:p w14:paraId="29006677" w14:textId="77777777" w:rsidR="00302CA0" w:rsidRPr="008E6C23" w:rsidRDefault="00302CA0" w:rsidP="00302CA0">
      <w:pPr>
        <w:spacing w:after="120"/>
        <w:ind w:left="414"/>
        <w:contextualSpacing/>
        <w:jc w:val="center"/>
        <w:rPr>
          <w:b/>
          <w:color w:val="00B050"/>
        </w:rPr>
      </w:pPr>
    </w:p>
    <w:p w14:paraId="0F67A180" w14:textId="77777777" w:rsidR="00302CA0" w:rsidRDefault="00302CA0" w:rsidP="006965F8">
      <w:pPr>
        <w:spacing w:after="120"/>
        <w:ind w:left="414"/>
        <w:contextualSpacing/>
        <w:rPr>
          <w:b/>
        </w:rPr>
      </w:pPr>
      <w:r w:rsidRPr="008E6C23">
        <w:rPr>
          <w:b/>
        </w:rPr>
        <w:t>Juniorské projekty</w:t>
      </w:r>
    </w:p>
    <w:p w14:paraId="15AB5CCE" w14:textId="77777777" w:rsidR="00302CA0" w:rsidRPr="008E6C23" w:rsidRDefault="00302CA0" w:rsidP="00302CA0">
      <w:pPr>
        <w:spacing w:after="120"/>
        <w:ind w:left="414"/>
        <w:contextualSpacing/>
        <w:jc w:val="center"/>
        <w:rPr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120"/>
        <w:gridCol w:w="1560"/>
        <w:gridCol w:w="1560"/>
        <w:gridCol w:w="1340"/>
      </w:tblGrid>
      <w:tr w:rsidR="00302CA0" w:rsidRPr="008E6C23" w14:paraId="2542AA2F" w14:textId="77777777" w:rsidTr="00302CA0">
        <w:trPr>
          <w:trHeight w:val="34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123E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B256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509A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 xml:space="preserve">Splněno </w:t>
            </w:r>
            <w:r w:rsidRPr="008E6C23">
              <w:rPr>
                <w:rFonts w:eastAsia="Times New Roman"/>
                <w:color w:val="000000"/>
                <w:lang w:eastAsia="cs-CZ"/>
              </w:rPr>
              <w:br/>
              <w:t>s výhradou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0919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Zastaveno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E62A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</w:tr>
      <w:tr w:rsidR="00302CA0" w:rsidRPr="008E6C23" w14:paraId="4232834F" w14:textId="77777777" w:rsidTr="00302CA0">
        <w:trPr>
          <w:trHeight w:val="458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78726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86784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7FAF5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37833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70548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02CA0" w:rsidRPr="008E6C23" w14:paraId="72C602B9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339C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CAD35" w14:textId="77777777" w:rsidR="00302CA0" w:rsidRPr="008A3FD2" w:rsidRDefault="00302CA0" w:rsidP="00302CA0">
            <w:pPr>
              <w:jc w:val="center"/>
            </w:pPr>
            <w:r w:rsidRPr="008A3FD2"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D934F" w14:textId="77777777" w:rsidR="00302CA0" w:rsidRPr="008A3FD2" w:rsidRDefault="00302CA0" w:rsidP="00302CA0">
            <w:pPr>
              <w:jc w:val="center"/>
            </w:pPr>
            <w:r w:rsidRPr="008A3FD2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91B5B" w14:textId="77777777" w:rsidR="00302CA0" w:rsidRPr="008A3FD2" w:rsidRDefault="00302CA0" w:rsidP="00302CA0">
            <w:pPr>
              <w:jc w:val="center"/>
            </w:pPr>
            <w:r w:rsidRPr="008A3FD2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B7435" w14:textId="77777777" w:rsidR="00302CA0" w:rsidRPr="008A3FD2" w:rsidRDefault="00302CA0" w:rsidP="00302CA0">
            <w:pPr>
              <w:jc w:val="center"/>
            </w:pPr>
            <w:r w:rsidRPr="008A3FD2">
              <w:t>34</w:t>
            </w:r>
          </w:p>
        </w:tc>
      </w:tr>
      <w:tr w:rsidR="00302CA0" w:rsidRPr="008E6C23" w14:paraId="5126A455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5B95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D3E04" w14:textId="77777777" w:rsidR="00302CA0" w:rsidRPr="008A3FD2" w:rsidRDefault="00302CA0" w:rsidP="00302CA0">
            <w:pPr>
              <w:jc w:val="center"/>
            </w:pPr>
            <w:r w:rsidRPr="008A3FD2"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05F5" w14:textId="77777777" w:rsidR="00302CA0" w:rsidRPr="008A3FD2" w:rsidRDefault="00302CA0" w:rsidP="00302CA0">
            <w:pPr>
              <w:jc w:val="center"/>
            </w:pPr>
            <w:r w:rsidRPr="008A3FD2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E4E0F" w14:textId="77777777" w:rsidR="00302CA0" w:rsidRPr="008A3FD2" w:rsidRDefault="00302CA0" w:rsidP="00302CA0">
            <w:pPr>
              <w:jc w:val="center"/>
            </w:pPr>
            <w:r w:rsidRPr="008A3FD2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58F49" w14:textId="77777777" w:rsidR="00302CA0" w:rsidRPr="008A3FD2" w:rsidRDefault="00302CA0" w:rsidP="00302CA0">
            <w:pPr>
              <w:jc w:val="center"/>
            </w:pPr>
            <w:r w:rsidRPr="008A3FD2">
              <w:t>48</w:t>
            </w:r>
          </w:p>
        </w:tc>
      </w:tr>
      <w:tr w:rsidR="00302CA0" w:rsidRPr="008E6C23" w14:paraId="2E2F92A5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2F4A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1FEA0" w14:textId="77777777" w:rsidR="00302CA0" w:rsidRPr="008A3FD2" w:rsidRDefault="00302CA0" w:rsidP="00302CA0">
            <w:pPr>
              <w:jc w:val="center"/>
            </w:pPr>
            <w:r w:rsidRPr="008A3FD2"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22AAC" w14:textId="77777777" w:rsidR="00302CA0" w:rsidRPr="008A3FD2" w:rsidRDefault="00302CA0" w:rsidP="00302CA0">
            <w:pPr>
              <w:jc w:val="center"/>
            </w:pPr>
            <w:r w:rsidRPr="008A3FD2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BED90" w14:textId="77777777" w:rsidR="00302CA0" w:rsidRPr="008A3FD2" w:rsidRDefault="00302CA0" w:rsidP="00302CA0">
            <w:pPr>
              <w:jc w:val="center"/>
            </w:pPr>
            <w:r w:rsidRPr="008A3FD2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5886E" w14:textId="77777777" w:rsidR="00302CA0" w:rsidRPr="008A3FD2" w:rsidRDefault="00302CA0" w:rsidP="00302CA0">
            <w:pPr>
              <w:jc w:val="center"/>
            </w:pPr>
            <w:r w:rsidRPr="008A3FD2">
              <w:t>28</w:t>
            </w:r>
          </w:p>
        </w:tc>
      </w:tr>
      <w:tr w:rsidR="00302CA0" w:rsidRPr="008E6C23" w14:paraId="04D01894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7DA2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5AACF" w14:textId="77777777" w:rsidR="00302CA0" w:rsidRPr="008A3FD2" w:rsidRDefault="00302CA0" w:rsidP="00302CA0">
            <w:pPr>
              <w:jc w:val="center"/>
            </w:pPr>
            <w:r w:rsidRPr="008A3FD2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6A3E3" w14:textId="77777777" w:rsidR="00302CA0" w:rsidRPr="008A3FD2" w:rsidRDefault="00302CA0" w:rsidP="00302CA0">
            <w:pPr>
              <w:jc w:val="center"/>
            </w:pPr>
            <w:r w:rsidRPr="008A3FD2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A0963" w14:textId="77777777" w:rsidR="00302CA0" w:rsidRPr="008A3FD2" w:rsidRDefault="00302CA0" w:rsidP="00302CA0">
            <w:pPr>
              <w:jc w:val="center"/>
            </w:pPr>
            <w:r w:rsidRPr="008A3FD2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71792" w14:textId="77777777" w:rsidR="00302CA0" w:rsidRPr="008A3FD2" w:rsidRDefault="00302CA0" w:rsidP="00302CA0">
            <w:pPr>
              <w:jc w:val="center"/>
            </w:pPr>
            <w:r w:rsidRPr="008A3FD2">
              <w:t>20</w:t>
            </w:r>
          </w:p>
        </w:tc>
      </w:tr>
      <w:tr w:rsidR="00302CA0" w:rsidRPr="008E6C23" w14:paraId="2EBC00EE" w14:textId="77777777" w:rsidTr="00302CA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A5C1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2BB98" w14:textId="77777777" w:rsidR="00302CA0" w:rsidRPr="008A3FD2" w:rsidRDefault="00302CA0" w:rsidP="00302CA0">
            <w:pPr>
              <w:jc w:val="center"/>
            </w:pPr>
            <w:r w:rsidRPr="008A3FD2"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3B84C" w14:textId="77777777" w:rsidR="00302CA0" w:rsidRPr="008A3FD2" w:rsidRDefault="00302CA0" w:rsidP="00302CA0">
            <w:pPr>
              <w:jc w:val="center"/>
            </w:pPr>
            <w:r w:rsidRPr="008A3FD2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1FBAB" w14:textId="77777777" w:rsidR="00302CA0" w:rsidRPr="008A3FD2" w:rsidRDefault="00302CA0" w:rsidP="00302CA0">
            <w:pPr>
              <w:jc w:val="center"/>
            </w:pPr>
            <w:r w:rsidRPr="008A3FD2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0DAF0" w14:textId="77777777" w:rsidR="00302CA0" w:rsidRPr="008A3FD2" w:rsidRDefault="00302CA0" w:rsidP="00302CA0">
            <w:pPr>
              <w:jc w:val="center"/>
            </w:pPr>
            <w:r w:rsidRPr="008A3FD2">
              <w:t>30</w:t>
            </w:r>
          </w:p>
        </w:tc>
      </w:tr>
      <w:tr w:rsidR="00302CA0" w:rsidRPr="008E6C23" w14:paraId="324F4FCF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78D5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4836F" w14:textId="77777777" w:rsidR="00302CA0" w:rsidRPr="008A3FD2" w:rsidRDefault="00302CA0" w:rsidP="00302CA0">
            <w:pPr>
              <w:jc w:val="center"/>
            </w:pPr>
            <w:r w:rsidRPr="008A3FD2"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2FD23" w14:textId="77777777" w:rsidR="00302CA0" w:rsidRPr="008A3FD2" w:rsidRDefault="00302CA0" w:rsidP="00302CA0">
            <w:pPr>
              <w:jc w:val="center"/>
            </w:pPr>
            <w:r w:rsidRPr="008A3FD2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5E9F4" w14:textId="77777777" w:rsidR="00302CA0" w:rsidRPr="008A3FD2" w:rsidRDefault="00302CA0" w:rsidP="00302CA0">
            <w:pPr>
              <w:jc w:val="center"/>
            </w:pPr>
            <w:r w:rsidRPr="008A3FD2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CFF00" w14:textId="77777777" w:rsidR="00302CA0" w:rsidRDefault="00302CA0" w:rsidP="00302CA0">
            <w:pPr>
              <w:jc w:val="center"/>
            </w:pPr>
            <w:r w:rsidRPr="008A3FD2">
              <w:t>160</w:t>
            </w:r>
          </w:p>
        </w:tc>
      </w:tr>
    </w:tbl>
    <w:p w14:paraId="27B58381" w14:textId="77777777" w:rsidR="00302CA0" w:rsidRPr="008E6C23" w:rsidRDefault="00302CA0" w:rsidP="00302CA0">
      <w:pPr>
        <w:spacing w:after="120"/>
        <w:contextualSpacing/>
        <w:jc w:val="left"/>
        <w:rPr>
          <w:b/>
          <w:color w:val="00B050"/>
        </w:rPr>
      </w:pPr>
    </w:p>
    <w:p w14:paraId="685C2CD1" w14:textId="77777777" w:rsidR="008D6BB3" w:rsidRDefault="008D6BB3" w:rsidP="00734AA3">
      <w:pPr>
        <w:spacing w:line="276" w:lineRule="auto"/>
        <w:ind w:firstLine="708"/>
        <w:jc w:val="center"/>
        <w:rPr>
          <w:b/>
        </w:rPr>
      </w:pPr>
    </w:p>
    <w:p w14:paraId="62CF4847" w14:textId="77777777" w:rsidR="006965F8" w:rsidRDefault="006965F8" w:rsidP="00734AA3">
      <w:pPr>
        <w:spacing w:line="276" w:lineRule="auto"/>
        <w:ind w:firstLine="708"/>
        <w:jc w:val="center"/>
        <w:rPr>
          <w:b/>
        </w:rPr>
      </w:pPr>
    </w:p>
    <w:p w14:paraId="1A327994" w14:textId="77777777" w:rsidR="006965F8" w:rsidRDefault="006965F8" w:rsidP="00734AA3">
      <w:pPr>
        <w:spacing w:line="276" w:lineRule="auto"/>
        <w:ind w:firstLine="708"/>
        <w:jc w:val="center"/>
        <w:rPr>
          <w:b/>
        </w:rPr>
      </w:pPr>
    </w:p>
    <w:p w14:paraId="3CD33FD1" w14:textId="77777777" w:rsidR="006965F8" w:rsidRDefault="006965F8" w:rsidP="00734AA3">
      <w:pPr>
        <w:spacing w:line="276" w:lineRule="auto"/>
        <w:ind w:firstLine="708"/>
        <w:jc w:val="center"/>
        <w:rPr>
          <w:b/>
        </w:rPr>
      </w:pPr>
    </w:p>
    <w:p w14:paraId="7DE62229" w14:textId="77777777" w:rsidR="006965F8" w:rsidRDefault="006965F8" w:rsidP="00734AA3">
      <w:pPr>
        <w:spacing w:line="276" w:lineRule="auto"/>
        <w:ind w:firstLine="708"/>
        <w:jc w:val="center"/>
        <w:rPr>
          <w:b/>
        </w:rPr>
      </w:pPr>
    </w:p>
    <w:p w14:paraId="5CCD5F61" w14:textId="77777777" w:rsidR="006965F8" w:rsidRDefault="006965F8" w:rsidP="00734AA3">
      <w:pPr>
        <w:spacing w:line="276" w:lineRule="auto"/>
        <w:ind w:firstLine="708"/>
        <w:jc w:val="center"/>
        <w:rPr>
          <w:b/>
        </w:rPr>
      </w:pPr>
    </w:p>
    <w:p w14:paraId="264F59F0" w14:textId="0C8B7327" w:rsidR="00302CA0" w:rsidRDefault="00302CA0" w:rsidP="006965F8">
      <w:pPr>
        <w:spacing w:line="276" w:lineRule="auto"/>
        <w:ind w:firstLine="708"/>
        <w:rPr>
          <w:b/>
        </w:rPr>
      </w:pPr>
      <w:r w:rsidRPr="00EC0C15">
        <w:rPr>
          <w:b/>
        </w:rPr>
        <w:t>Mezinárodní (bilaterální) projekty</w:t>
      </w:r>
    </w:p>
    <w:p w14:paraId="4D3A1E89" w14:textId="77777777" w:rsidR="00302CA0" w:rsidRPr="00EC0C15" w:rsidRDefault="00302CA0" w:rsidP="00302CA0">
      <w:pPr>
        <w:spacing w:after="120"/>
        <w:contextualSpacing/>
        <w:jc w:val="center"/>
        <w:rPr>
          <w:b/>
          <w:color w:val="00B050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120"/>
        <w:gridCol w:w="1560"/>
        <w:gridCol w:w="1560"/>
        <w:gridCol w:w="1340"/>
      </w:tblGrid>
      <w:tr w:rsidR="00302CA0" w:rsidRPr="008E6C23" w14:paraId="36EE5F7C" w14:textId="77777777" w:rsidTr="00302CA0">
        <w:trPr>
          <w:trHeight w:val="34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3926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364D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1D76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 xml:space="preserve">Splněno </w:t>
            </w:r>
            <w:r w:rsidRPr="00EC0C15">
              <w:rPr>
                <w:rFonts w:eastAsia="Times New Roman"/>
                <w:color w:val="000000"/>
                <w:lang w:eastAsia="cs-CZ"/>
              </w:rPr>
              <w:br/>
              <w:t>s výhradou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0A83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Zastaveno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2AD7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</w:tr>
      <w:tr w:rsidR="00302CA0" w:rsidRPr="008E6C23" w14:paraId="2FCFC2DF" w14:textId="77777777" w:rsidTr="00302CA0">
        <w:trPr>
          <w:trHeight w:val="458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1E8AB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7D30C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82EA1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1A3F8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C0D87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02CA0" w:rsidRPr="008E6C23" w14:paraId="31903D14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A73F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40B9A" w14:textId="77777777" w:rsidR="00302CA0" w:rsidRPr="00095AED" w:rsidRDefault="00302CA0" w:rsidP="00302CA0">
            <w:pPr>
              <w:jc w:val="center"/>
            </w:pPr>
            <w:r w:rsidRPr="00095AED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E0C7A" w14:textId="77777777" w:rsidR="00302CA0" w:rsidRPr="00095AED" w:rsidRDefault="00302CA0" w:rsidP="00302CA0">
            <w:pPr>
              <w:jc w:val="center"/>
            </w:pPr>
            <w:r w:rsidRPr="00095AE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19623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9932E" w14:textId="77777777" w:rsidR="00302CA0" w:rsidRPr="00095AED" w:rsidRDefault="00302CA0" w:rsidP="00302CA0">
            <w:pPr>
              <w:jc w:val="center"/>
            </w:pPr>
            <w:r w:rsidRPr="00095AED">
              <w:t>8</w:t>
            </w:r>
          </w:p>
        </w:tc>
      </w:tr>
      <w:tr w:rsidR="00302CA0" w:rsidRPr="008E6C23" w14:paraId="3F89F63D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FB5D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EE31F" w14:textId="77777777" w:rsidR="00302CA0" w:rsidRPr="00095AED" w:rsidRDefault="00302CA0" w:rsidP="00302CA0">
            <w:pPr>
              <w:jc w:val="center"/>
            </w:pPr>
            <w:r w:rsidRPr="00095AE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BE8E9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32BE0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72CAE" w14:textId="77777777" w:rsidR="00302CA0" w:rsidRPr="00095AED" w:rsidRDefault="00302CA0" w:rsidP="00302CA0">
            <w:pPr>
              <w:jc w:val="center"/>
            </w:pPr>
            <w:r w:rsidRPr="00095AED">
              <w:t>13</w:t>
            </w:r>
          </w:p>
        </w:tc>
      </w:tr>
      <w:tr w:rsidR="00302CA0" w:rsidRPr="008E6C23" w14:paraId="7BAA75D9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52A3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6EDD6" w14:textId="77777777" w:rsidR="00302CA0" w:rsidRPr="00095AED" w:rsidRDefault="00302CA0" w:rsidP="00302CA0">
            <w:pPr>
              <w:jc w:val="center"/>
            </w:pPr>
            <w:r w:rsidRPr="00095AED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F148A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3DE41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24192" w14:textId="77777777" w:rsidR="00302CA0" w:rsidRPr="00095AED" w:rsidRDefault="00302CA0" w:rsidP="00302CA0">
            <w:pPr>
              <w:jc w:val="center"/>
            </w:pPr>
            <w:r w:rsidRPr="00095AED">
              <w:t>4</w:t>
            </w:r>
          </w:p>
        </w:tc>
      </w:tr>
      <w:tr w:rsidR="00302CA0" w:rsidRPr="008E6C23" w14:paraId="16C19936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F0C1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BFDBE" w14:textId="77777777" w:rsidR="00302CA0" w:rsidRPr="00095AED" w:rsidRDefault="00302CA0" w:rsidP="00302CA0">
            <w:pPr>
              <w:jc w:val="center"/>
            </w:pPr>
            <w:r w:rsidRPr="00095AED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255DC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4D23A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FE31" w14:textId="77777777" w:rsidR="00302CA0" w:rsidRPr="00095AED" w:rsidRDefault="00302CA0" w:rsidP="00302CA0">
            <w:pPr>
              <w:jc w:val="center"/>
            </w:pPr>
            <w:r w:rsidRPr="00095AED">
              <w:t>4</w:t>
            </w:r>
          </w:p>
        </w:tc>
      </w:tr>
      <w:tr w:rsidR="00302CA0" w:rsidRPr="008E6C23" w14:paraId="0920C921" w14:textId="77777777" w:rsidTr="00302CA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6664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7BF86" w14:textId="77777777" w:rsidR="00302CA0" w:rsidRPr="00095AED" w:rsidRDefault="00302CA0" w:rsidP="00302CA0">
            <w:pPr>
              <w:jc w:val="center"/>
            </w:pPr>
            <w:r w:rsidRPr="00095AE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B7688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F2D2D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4F53C" w14:textId="77777777" w:rsidR="00302CA0" w:rsidRPr="00095AED" w:rsidRDefault="00302CA0" w:rsidP="00302CA0">
            <w:pPr>
              <w:jc w:val="center"/>
            </w:pPr>
            <w:r w:rsidRPr="00095AED">
              <w:t>1</w:t>
            </w:r>
          </w:p>
        </w:tc>
      </w:tr>
      <w:tr w:rsidR="00302CA0" w:rsidRPr="008E6C23" w14:paraId="2AF44031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B1A8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C5C7C" w14:textId="77777777" w:rsidR="00302CA0" w:rsidRPr="00095AED" w:rsidRDefault="00302CA0" w:rsidP="00302CA0">
            <w:pPr>
              <w:jc w:val="center"/>
            </w:pPr>
            <w:r w:rsidRPr="00095AED"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4F4D0" w14:textId="77777777" w:rsidR="00302CA0" w:rsidRPr="00095AED" w:rsidRDefault="00302CA0" w:rsidP="00302CA0">
            <w:pPr>
              <w:jc w:val="center"/>
            </w:pPr>
            <w:r w:rsidRPr="00095AE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09B64" w14:textId="77777777" w:rsidR="00302CA0" w:rsidRPr="00095AED" w:rsidRDefault="00302CA0" w:rsidP="00302CA0">
            <w:pPr>
              <w:jc w:val="center"/>
            </w:pPr>
            <w:r w:rsidRPr="00095AED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61E47" w14:textId="77777777" w:rsidR="00302CA0" w:rsidRDefault="00302CA0" w:rsidP="00302CA0">
            <w:pPr>
              <w:jc w:val="center"/>
            </w:pPr>
            <w:r w:rsidRPr="00095AED">
              <w:t>30</w:t>
            </w:r>
          </w:p>
        </w:tc>
      </w:tr>
    </w:tbl>
    <w:p w14:paraId="774F6CB1" w14:textId="77777777" w:rsidR="00302CA0" w:rsidRDefault="00302CA0" w:rsidP="00302CA0">
      <w:pPr>
        <w:spacing w:after="120"/>
        <w:ind w:left="414"/>
        <w:contextualSpacing/>
        <w:jc w:val="center"/>
        <w:rPr>
          <w:b/>
          <w:color w:val="00B050"/>
        </w:rPr>
      </w:pPr>
    </w:p>
    <w:p w14:paraId="3D09BAC9" w14:textId="77777777" w:rsidR="00302CA0" w:rsidRDefault="00302CA0" w:rsidP="00302CA0">
      <w:pPr>
        <w:spacing w:after="120"/>
        <w:ind w:left="414"/>
        <w:contextualSpacing/>
        <w:jc w:val="center"/>
        <w:rPr>
          <w:b/>
          <w:color w:val="00B050"/>
        </w:rPr>
      </w:pPr>
    </w:p>
    <w:p w14:paraId="540DD55C" w14:textId="77777777" w:rsidR="00D93434" w:rsidRDefault="00D93434" w:rsidP="00302CA0">
      <w:pPr>
        <w:spacing w:after="120"/>
        <w:ind w:left="414"/>
        <w:contextualSpacing/>
        <w:jc w:val="center"/>
        <w:rPr>
          <w:b/>
        </w:rPr>
      </w:pPr>
    </w:p>
    <w:p w14:paraId="3C01E66C" w14:textId="20E6DF36" w:rsidR="00302CA0" w:rsidRDefault="00302CA0" w:rsidP="006965F8">
      <w:pPr>
        <w:spacing w:after="120"/>
        <w:ind w:left="414"/>
        <w:contextualSpacing/>
        <w:rPr>
          <w:b/>
        </w:rPr>
      </w:pPr>
      <w:r w:rsidRPr="008E6C23">
        <w:rPr>
          <w:b/>
        </w:rPr>
        <w:t>Projekty na podporu excelence v základním výzkumu</w:t>
      </w:r>
    </w:p>
    <w:p w14:paraId="2FF18B3C" w14:textId="77777777" w:rsidR="00302CA0" w:rsidRPr="008E6C23" w:rsidRDefault="00302CA0" w:rsidP="00302CA0">
      <w:pPr>
        <w:spacing w:after="120"/>
        <w:ind w:left="414"/>
        <w:contextualSpacing/>
        <w:jc w:val="center"/>
        <w:rPr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120"/>
        <w:gridCol w:w="1560"/>
        <w:gridCol w:w="1560"/>
        <w:gridCol w:w="1340"/>
      </w:tblGrid>
      <w:tr w:rsidR="00302CA0" w:rsidRPr="008E6C23" w14:paraId="4F3AA0B2" w14:textId="77777777" w:rsidTr="00302CA0">
        <w:trPr>
          <w:trHeight w:val="34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5A02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D711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86EF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 xml:space="preserve">Splněno </w:t>
            </w:r>
            <w:r w:rsidRPr="008E6C23">
              <w:rPr>
                <w:rFonts w:eastAsia="Times New Roman"/>
                <w:color w:val="000000"/>
                <w:lang w:eastAsia="cs-CZ"/>
              </w:rPr>
              <w:br/>
              <w:t>s výhradou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5DE9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Zastaveno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37A60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</w:tr>
      <w:tr w:rsidR="00302CA0" w:rsidRPr="008E6C23" w14:paraId="216D102B" w14:textId="77777777" w:rsidTr="00302CA0">
        <w:trPr>
          <w:trHeight w:val="458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3B531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ADB30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797BA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4ABDC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20957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02CA0" w:rsidRPr="008E6C23" w14:paraId="3A5385C0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18FC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573D0" w14:textId="77777777" w:rsidR="00302CA0" w:rsidRPr="002742AF" w:rsidRDefault="00302CA0" w:rsidP="00302CA0">
            <w:pPr>
              <w:jc w:val="center"/>
            </w:pPr>
            <w:r w:rsidRPr="002742AF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89435" w14:textId="77777777" w:rsidR="00302CA0" w:rsidRPr="002742AF" w:rsidRDefault="00302CA0" w:rsidP="00302CA0">
            <w:pPr>
              <w:jc w:val="center"/>
            </w:pPr>
            <w:r w:rsidRPr="002742A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A7E15" w14:textId="77777777" w:rsidR="00302CA0" w:rsidRPr="002742AF" w:rsidRDefault="00302CA0" w:rsidP="00302CA0">
            <w:pPr>
              <w:jc w:val="center"/>
            </w:pPr>
            <w:r w:rsidRPr="002742AF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3E636" w14:textId="77777777" w:rsidR="00302CA0" w:rsidRPr="002742AF" w:rsidRDefault="00302CA0" w:rsidP="00302CA0">
            <w:pPr>
              <w:jc w:val="center"/>
            </w:pPr>
            <w:r w:rsidRPr="002742AF">
              <w:t>6</w:t>
            </w:r>
          </w:p>
        </w:tc>
      </w:tr>
      <w:tr w:rsidR="00302CA0" w:rsidRPr="008E6C23" w14:paraId="0C2197A6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F250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2BF8D" w14:textId="77777777" w:rsidR="00302CA0" w:rsidRPr="002742AF" w:rsidRDefault="00302CA0" w:rsidP="00302CA0">
            <w:pPr>
              <w:jc w:val="center"/>
            </w:pPr>
            <w:r w:rsidRPr="002742AF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B71EB" w14:textId="77777777" w:rsidR="00302CA0" w:rsidRPr="002742AF" w:rsidRDefault="00302CA0" w:rsidP="00302CA0">
            <w:pPr>
              <w:jc w:val="center"/>
            </w:pPr>
            <w:r w:rsidRPr="002742A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E1B37" w14:textId="77777777" w:rsidR="00302CA0" w:rsidRPr="002742AF" w:rsidRDefault="00302CA0" w:rsidP="00302CA0">
            <w:pPr>
              <w:jc w:val="center"/>
            </w:pPr>
            <w:r w:rsidRPr="002742AF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6D476" w14:textId="77777777" w:rsidR="00302CA0" w:rsidRPr="002742AF" w:rsidRDefault="00302CA0" w:rsidP="00302CA0">
            <w:pPr>
              <w:jc w:val="center"/>
            </w:pPr>
            <w:r w:rsidRPr="002742AF">
              <w:t>9</w:t>
            </w:r>
          </w:p>
        </w:tc>
      </w:tr>
      <w:tr w:rsidR="00302CA0" w:rsidRPr="008E6C23" w14:paraId="2897BCAD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7A8A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10C07" w14:textId="77777777" w:rsidR="00302CA0" w:rsidRPr="002742AF" w:rsidRDefault="00302CA0" w:rsidP="00302CA0">
            <w:pPr>
              <w:jc w:val="center"/>
            </w:pPr>
            <w:r w:rsidRPr="002742AF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720D1" w14:textId="77777777" w:rsidR="00302CA0" w:rsidRPr="002742AF" w:rsidRDefault="00302CA0" w:rsidP="00302CA0">
            <w:pPr>
              <w:jc w:val="center"/>
            </w:pPr>
            <w:r w:rsidRPr="002742A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2B536" w14:textId="77777777" w:rsidR="00302CA0" w:rsidRPr="002742AF" w:rsidRDefault="00302CA0" w:rsidP="00302CA0">
            <w:pPr>
              <w:jc w:val="center"/>
            </w:pPr>
            <w:r w:rsidRPr="002742AF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EB6CE" w14:textId="77777777" w:rsidR="00302CA0" w:rsidRPr="002742AF" w:rsidRDefault="00302CA0" w:rsidP="00302CA0">
            <w:pPr>
              <w:jc w:val="center"/>
            </w:pPr>
            <w:r w:rsidRPr="002742AF">
              <w:t>7</w:t>
            </w:r>
          </w:p>
        </w:tc>
      </w:tr>
      <w:tr w:rsidR="00302CA0" w:rsidRPr="008E6C23" w14:paraId="0FD4198C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0965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B4BA5" w14:textId="77777777" w:rsidR="00302CA0" w:rsidRPr="002742AF" w:rsidRDefault="00302CA0" w:rsidP="00302CA0">
            <w:pPr>
              <w:jc w:val="center"/>
            </w:pPr>
            <w:r w:rsidRPr="002742AF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1DE9E" w14:textId="77777777" w:rsidR="00302CA0" w:rsidRPr="002742AF" w:rsidRDefault="00302CA0" w:rsidP="00302CA0">
            <w:pPr>
              <w:jc w:val="center"/>
            </w:pPr>
            <w:r w:rsidRPr="002742A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63FE5" w14:textId="77777777" w:rsidR="00302CA0" w:rsidRPr="002742AF" w:rsidRDefault="00302CA0" w:rsidP="00302CA0">
            <w:pPr>
              <w:jc w:val="center"/>
            </w:pPr>
            <w:r w:rsidRPr="002742AF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E0EA2" w14:textId="77777777" w:rsidR="00302CA0" w:rsidRPr="002742AF" w:rsidRDefault="00302CA0" w:rsidP="00302CA0">
            <w:pPr>
              <w:jc w:val="center"/>
            </w:pPr>
            <w:r w:rsidRPr="002742AF">
              <w:t>9</w:t>
            </w:r>
          </w:p>
        </w:tc>
      </w:tr>
      <w:tr w:rsidR="00302CA0" w:rsidRPr="008E6C23" w14:paraId="13693373" w14:textId="77777777" w:rsidTr="00302CA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C848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44361" w14:textId="77777777" w:rsidR="00302CA0" w:rsidRPr="002742AF" w:rsidRDefault="00302CA0" w:rsidP="00302CA0">
            <w:pPr>
              <w:jc w:val="center"/>
            </w:pPr>
            <w:r w:rsidRPr="002742AF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9B62E" w14:textId="77777777" w:rsidR="00302CA0" w:rsidRPr="002742AF" w:rsidRDefault="00302CA0" w:rsidP="00302CA0">
            <w:pPr>
              <w:jc w:val="center"/>
            </w:pPr>
            <w:r w:rsidRPr="002742A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EE9AA" w14:textId="77777777" w:rsidR="00302CA0" w:rsidRPr="002742AF" w:rsidRDefault="00302CA0" w:rsidP="00302CA0">
            <w:pPr>
              <w:jc w:val="center"/>
            </w:pPr>
            <w:r w:rsidRPr="002742AF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6E842" w14:textId="77777777" w:rsidR="00302CA0" w:rsidRPr="002742AF" w:rsidRDefault="00302CA0" w:rsidP="00302CA0">
            <w:pPr>
              <w:jc w:val="center"/>
            </w:pPr>
            <w:r w:rsidRPr="002742AF">
              <w:t>6</w:t>
            </w:r>
          </w:p>
        </w:tc>
      </w:tr>
      <w:tr w:rsidR="00302CA0" w:rsidRPr="008E6C23" w14:paraId="43C087B8" w14:textId="77777777" w:rsidTr="00302CA0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85D7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65262" w14:textId="77777777" w:rsidR="00302CA0" w:rsidRPr="002742AF" w:rsidRDefault="00302CA0" w:rsidP="00302CA0">
            <w:pPr>
              <w:jc w:val="center"/>
            </w:pPr>
            <w:r w:rsidRPr="002742AF"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36C2B" w14:textId="77777777" w:rsidR="00302CA0" w:rsidRPr="002742AF" w:rsidRDefault="00302CA0" w:rsidP="00302CA0">
            <w:pPr>
              <w:jc w:val="center"/>
            </w:pPr>
            <w:r w:rsidRPr="002742A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97D0C" w14:textId="77777777" w:rsidR="00302CA0" w:rsidRPr="002742AF" w:rsidRDefault="00302CA0" w:rsidP="00302CA0">
            <w:pPr>
              <w:jc w:val="center"/>
            </w:pPr>
            <w:r w:rsidRPr="002742AF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EFD84" w14:textId="77777777" w:rsidR="00302CA0" w:rsidRDefault="00302CA0" w:rsidP="00302CA0">
            <w:pPr>
              <w:jc w:val="center"/>
            </w:pPr>
            <w:r w:rsidRPr="002742AF">
              <w:t>37</w:t>
            </w:r>
          </w:p>
        </w:tc>
      </w:tr>
    </w:tbl>
    <w:p w14:paraId="4C2384B8" w14:textId="77777777" w:rsidR="00B97D9C" w:rsidRPr="00C94590" w:rsidRDefault="00B97D9C"/>
    <w:p w14:paraId="09A76FBF" w14:textId="23A8FF6E" w:rsidR="00302CA0" w:rsidRPr="00302CA0" w:rsidRDefault="005C3390" w:rsidP="00302CA0">
      <w:pPr>
        <w:spacing w:after="120"/>
        <w:rPr>
          <w:color w:val="FF0000"/>
        </w:rPr>
      </w:pPr>
      <w:r w:rsidRPr="00C94590">
        <w:t>Stejně jako v minulých letech bylo</w:t>
      </w:r>
      <w:r w:rsidR="00302CA0" w:rsidRPr="00C94590">
        <w:t xml:space="preserve"> řešení grantových projektů </w:t>
      </w:r>
      <w:r w:rsidRPr="00C94590">
        <w:t xml:space="preserve">většinou bez problémů, byť jsou signalizovány problémy, o kterých již </w:t>
      </w:r>
      <w:r w:rsidR="00C94590" w:rsidRPr="00C94590">
        <w:t xml:space="preserve">orgány GA ČR opakovaně jednaly. Např. je to zvýšený podíl projektů označených jako „splněno s výhradou“ u společenských </w:t>
      </w:r>
      <w:r w:rsidR="008D6BB3">
        <w:br/>
      </w:r>
      <w:r w:rsidR="00C94590" w:rsidRPr="00C94590">
        <w:t>a humanitních věd</w:t>
      </w:r>
      <w:r w:rsidR="00302CA0" w:rsidRPr="00C94590">
        <w:t xml:space="preserve">. </w:t>
      </w:r>
      <w:r w:rsidR="00C94590" w:rsidRPr="00C94590">
        <w:t>I nadále je hlavním důvodem např.</w:t>
      </w:r>
      <w:r w:rsidR="00302CA0" w:rsidRPr="00C94590">
        <w:t xml:space="preserve"> nedostatečná publikační aktivita</w:t>
      </w:r>
      <w:r w:rsidR="00C94590" w:rsidRPr="00C94590">
        <w:t xml:space="preserve"> řešitelů projektu</w:t>
      </w:r>
      <w:r w:rsidR="00302CA0" w:rsidRPr="00C94590">
        <w:t xml:space="preserve">, </w:t>
      </w:r>
      <w:r w:rsidR="00C94590" w:rsidRPr="00C94590">
        <w:t xml:space="preserve">problémy v dedikacích publikovaných výstupů </w:t>
      </w:r>
      <w:r w:rsidR="00D649E8">
        <w:br/>
      </w:r>
      <w:r w:rsidR="00C94590" w:rsidRPr="00C94590">
        <w:t xml:space="preserve">(i několikanásobné dedikace), </w:t>
      </w:r>
      <w:r w:rsidR="00302CA0" w:rsidRPr="00C94590">
        <w:t>nepřesnosti v použití nebo doložení čerpání finančních prostředků</w:t>
      </w:r>
      <w:r w:rsidR="00C94590" w:rsidRPr="00C94590">
        <w:t xml:space="preserve"> a pořád se opakující problém</w:t>
      </w:r>
      <w:r w:rsidR="00302CA0" w:rsidRPr="00C94590">
        <w:t xml:space="preserve"> nedostatečné</w:t>
      </w:r>
      <w:r w:rsidR="00C94590" w:rsidRPr="00C94590">
        <w:t>ho</w:t>
      </w:r>
      <w:r w:rsidR="00302CA0" w:rsidRPr="00C94590">
        <w:t xml:space="preserve"> upřesnění plánu řešení projektu pro příští rok. </w:t>
      </w:r>
    </w:p>
    <w:p w14:paraId="7776B140" w14:textId="77777777" w:rsidR="00302CA0" w:rsidRDefault="00302CA0">
      <w:pPr>
        <w:rPr>
          <w:color w:val="FF0000"/>
        </w:rPr>
      </w:pPr>
    </w:p>
    <w:p w14:paraId="1F7ACD4D" w14:textId="77777777" w:rsidR="00302CA0" w:rsidRPr="0091006A" w:rsidRDefault="00302CA0" w:rsidP="00302CA0">
      <w:pPr>
        <w:pStyle w:val="Odstavecseseznamem"/>
        <w:numPr>
          <w:ilvl w:val="0"/>
          <w:numId w:val="3"/>
        </w:numPr>
        <w:spacing w:after="120"/>
      </w:pPr>
      <w:r w:rsidRPr="0091006A">
        <w:rPr>
          <w:b/>
        </w:rPr>
        <w:t xml:space="preserve">Hodnocení závěrečných zpráv ukončených projektů, které bylo náplní prací poradních orgánů v průběhu </w:t>
      </w:r>
      <w:r>
        <w:rPr>
          <w:b/>
        </w:rPr>
        <w:t>března 2018</w:t>
      </w:r>
    </w:p>
    <w:p w14:paraId="4522CFED" w14:textId="77777777" w:rsidR="00302CA0" w:rsidRPr="0091006A" w:rsidRDefault="00302CA0" w:rsidP="00302CA0">
      <w:pPr>
        <w:spacing w:after="120"/>
        <w:ind w:left="720"/>
      </w:pPr>
    </w:p>
    <w:p w14:paraId="638F7F7A" w14:textId="541064FA" w:rsidR="00302CA0" w:rsidRPr="0091006A" w:rsidRDefault="00302CA0" w:rsidP="00302CA0">
      <w:pPr>
        <w:spacing w:after="120"/>
        <w:ind w:firstLine="708"/>
      </w:pPr>
      <w:r w:rsidRPr="0091006A">
        <w:t>V průběhu zasedání byly hodnoceny výsledky dosažené při řešení financovanýc</w:t>
      </w:r>
      <w:r>
        <w:t>h projektů s rokem ukončení 2017</w:t>
      </w:r>
      <w:r w:rsidRPr="0091006A">
        <w:t xml:space="preserve"> a projektů, kdy bylo na žádost řešitele odloženo hodnocení zpravidla o jeden rok. Výsledkem hodnocení projektu může být konstatování, že </w:t>
      </w:r>
      <w:r w:rsidRPr="00C94590">
        <w:rPr>
          <w:b/>
        </w:rPr>
        <w:t>splnění cílů a dosažené výsledky jsou vynikající, splněno, splněno s výhradou, nesplněno, případně hodnocení odloženo</w:t>
      </w:r>
      <w:r w:rsidRPr="0091006A">
        <w:t xml:space="preserve">. Výsledky hodnocení </w:t>
      </w:r>
      <w:r w:rsidR="00D93434">
        <w:t>dílčích</w:t>
      </w:r>
      <w:r w:rsidR="00D93434" w:rsidRPr="0091006A">
        <w:t xml:space="preserve"> </w:t>
      </w:r>
      <w:r w:rsidRPr="0091006A">
        <w:t>zpráv řešených projektů shrnují následující tabulky:</w:t>
      </w:r>
    </w:p>
    <w:p w14:paraId="131A56FF" w14:textId="77777777" w:rsidR="00302CA0" w:rsidRDefault="00302CA0" w:rsidP="00302CA0">
      <w:pPr>
        <w:spacing w:after="120"/>
        <w:rPr>
          <w:b/>
        </w:rPr>
      </w:pPr>
    </w:p>
    <w:p w14:paraId="748828C9" w14:textId="77777777" w:rsidR="00B146FF" w:rsidRDefault="00B146FF" w:rsidP="00302CA0">
      <w:pPr>
        <w:spacing w:after="120"/>
        <w:rPr>
          <w:b/>
        </w:rPr>
      </w:pPr>
    </w:p>
    <w:p w14:paraId="2691910C" w14:textId="77777777" w:rsidR="00302CA0" w:rsidRPr="00EC0C15" w:rsidRDefault="00302CA0" w:rsidP="00302CA0">
      <w:pPr>
        <w:spacing w:after="120"/>
        <w:ind w:firstLine="708"/>
      </w:pPr>
    </w:p>
    <w:p w14:paraId="39762DBC" w14:textId="77777777" w:rsidR="00302CA0" w:rsidRDefault="00302CA0" w:rsidP="006965F8">
      <w:pPr>
        <w:spacing w:after="120"/>
        <w:ind w:left="414"/>
        <w:contextualSpacing/>
        <w:rPr>
          <w:b/>
        </w:rPr>
      </w:pPr>
      <w:r w:rsidRPr="00EC0C15">
        <w:rPr>
          <w:b/>
        </w:rPr>
        <w:lastRenderedPageBreak/>
        <w:t>Standardní projekty</w:t>
      </w:r>
    </w:p>
    <w:p w14:paraId="05C55DDE" w14:textId="77777777" w:rsidR="00302CA0" w:rsidRPr="00EC0C15" w:rsidRDefault="00302CA0" w:rsidP="00302CA0">
      <w:pPr>
        <w:spacing w:after="120"/>
        <w:ind w:left="414"/>
        <w:contextualSpacing/>
        <w:jc w:val="center"/>
        <w:rPr>
          <w:b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20"/>
        <w:gridCol w:w="1020"/>
        <w:gridCol w:w="1020"/>
        <w:gridCol w:w="1020"/>
        <w:gridCol w:w="1020"/>
        <w:gridCol w:w="1020"/>
      </w:tblGrid>
      <w:tr w:rsidR="00302CA0" w:rsidRPr="008E6C23" w14:paraId="535E0672" w14:textId="77777777" w:rsidTr="00302CA0">
        <w:trPr>
          <w:trHeight w:val="19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B595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90E36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Vynikající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31BD5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FC214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Splněno s výhradou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52AF1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Nesplněno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7D49CD" w14:textId="77777777" w:rsidR="00302CA0" w:rsidRPr="00632452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452">
              <w:rPr>
                <w:rFonts w:eastAsia="Times New Roman"/>
                <w:color w:val="000000"/>
                <w:lang w:eastAsia="cs-CZ"/>
              </w:rPr>
              <w:t>Odložené hodnocení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506AD" w14:textId="77777777" w:rsidR="00302CA0" w:rsidRPr="008E6C23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</w:tr>
      <w:tr w:rsidR="00302CA0" w:rsidRPr="008E6C23" w14:paraId="11C6E546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16F5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A326" w14:textId="77777777" w:rsidR="00302CA0" w:rsidRPr="00F54185" w:rsidRDefault="00302CA0" w:rsidP="00302CA0">
            <w:pPr>
              <w:jc w:val="center"/>
            </w:pPr>
            <w:r w:rsidRPr="00F54185"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C318" w14:textId="77777777" w:rsidR="00302CA0" w:rsidRPr="00F54185" w:rsidRDefault="00302CA0" w:rsidP="00302CA0">
            <w:pPr>
              <w:jc w:val="center"/>
            </w:pPr>
            <w:r w:rsidRPr="00F54185"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44D7" w14:textId="77777777" w:rsidR="00302CA0" w:rsidRPr="00F54185" w:rsidRDefault="00302CA0" w:rsidP="00302CA0">
            <w:pPr>
              <w:jc w:val="center"/>
            </w:pPr>
            <w:r w:rsidRPr="00F54185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ACC6" w14:textId="77777777" w:rsidR="00302CA0" w:rsidRPr="00F54185" w:rsidRDefault="00302CA0" w:rsidP="00302CA0">
            <w:pPr>
              <w:jc w:val="center"/>
            </w:pPr>
            <w:r w:rsidRPr="00F5418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D209" w14:textId="77777777" w:rsidR="00302CA0" w:rsidRPr="00F54185" w:rsidRDefault="00302CA0" w:rsidP="00302CA0">
            <w:pPr>
              <w:jc w:val="center"/>
            </w:pPr>
            <w:r w:rsidRPr="00F54185"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A69F" w14:textId="77777777" w:rsidR="00302CA0" w:rsidRPr="00F54185" w:rsidRDefault="00302CA0" w:rsidP="00302CA0">
            <w:pPr>
              <w:jc w:val="center"/>
            </w:pPr>
            <w:r w:rsidRPr="00F54185">
              <w:t>117</w:t>
            </w:r>
          </w:p>
        </w:tc>
      </w:tr>
      <w:tr w:rsidR="00302CA0" w:rsidRPr="008E6C23" w14:paraId="42DF7086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B29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8760" w14:textId="77777777" w:rsidR="00302CA0" w:rsidRPr="00F54185" w:rsidRDefault="00302CA0" w:rsidP="00302CA0">
            <w:pPr>
              <w:jc w:val="center"/>
            </w:pPr>
            <w:r w:rsidRPr="00F54185"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192F" w14:textId="77777777" w:rsidR="00302CA0" w:rsidRPr="00F54185" w:rsidRDefault="00302CA0" w:rsidP="00302CA0">
            <w:pPr>
              <w:jc w:val="center"/>
            </w:pPr>
            <w:r w:rsidRPr="00F54185"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F977" w14:textId="77777777" w:rsidR="00302CA0" w:rsidRPr="00F54185" w:rsidRDefault="00302CA0" w:rsidP="00302CA0">
            <w:pPr>
              <w:jc w:val="center"/>
            </w:pPr>
            <w:r w:rsidRPr="00F5418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1875" w14:textId="77777777" w:rsidR="00302CA0" w:rsidRPr="00F54185" w:rsidRDefault="00302CA0" w:rsidP="00302CA0">
            <w:pPr>
              <w:jc w:val="center"/>
            </w:pPr>
            <w:r w:rsidRPr="00F5418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0C42" w14:textId="77777777" w:rsidR="00302CA0" w:rsidRPr="00F54185" w:rsidRDefault="00302CA0" w:rsidP="00302CA0">
            <w:pPr>
              <w:jc w:val="center"/>
            </w:pPr>
            <w:r w:rsidRPr="00F54185"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0BF4" w14:textId="77777777" w:rsidR="00302CA0" w:rsidRPr="00F54185" w:rsidRDefault="00302CA0" w:rsidP="00302CA0">
            <w:pPr>
              <w:jc w:val="center"/>
            </w:pPr>
            <w:r w:rsidRPr="00F54185">
              <w:t>141</w:t>
            </w:r>
          </w:p>
        </w:tc>
      </w:tr>
      <w:tr w:rsidR="00302CA0" w:rsidRPr="008E6C23" w14:paraId="02766C3E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934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0F2B" w14:textId="77777777" w:rsidR="00302CA0" w:rsidRPr="00F54185" w:rsidRDefault="00302CA0" w:rsidP="00302CA0">
            <w:pPr>
              <w:jc w:val="center"/>
            </w:pPr>
            <w:r w:rsidRPr="00F54185"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D611" w14:textId="77777777" w:rsidR="00302CA0" w:rsidRPr="00F54185" w:rsidRDefault="00302CA0" w:rsidP="00302CA0">
            <w:pPr>
              <w:jc w:val="center"/>
            </w:pPr>
            <w:r w:rsidRPr="00F54185"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FDCE" w14:textId="77777777" w:rsidR="00302CA0" w:rsidRPr="00F54185" w:rsidRDefault="00302CA0" w:rsidP="00302CA0">
            <w:pPr>
              <w:jc w:val="center"/>
            </w:pPr>
            <w:r w:rsidRPr="00F54185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8114" w14:textId="77777777" w:rsidR="00302CA0" w:rsidRPr="00F54185" w:rsidRDefault="00302CA0" w:rsidP="00302CA0">
            <w:pPr>
              <w:jc w:val="center"/>
            </w:pPr>
            <w:r w:rsidRPr="00F5418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D3C7" w14:textId="77777777" w:rsidR="00302CA0" w:rsidRPr="00F54185" w:rsidRDefault="00302CA0" w:rsidP="00302CA0">
            <w:pPr>
              <w:jc w:val="center"/>
            </w:pPr>
            <w:r w:rsidRPr="00F54185"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55E7" w14:textId="77777777" w:rsidR="00302CA0" w:rsidRPr="00F54185" w:rsidRDefault="00302CA0" w:rsidP="00302CA0">
            <w:pPr>
              <w:jc w:val="center"/>
            </w:pPr>
            <w:r w:rsidRPr="00F54185">
              <w:t>107</w:t>
            </w:r>
          </w:p>
        </w:tc>
      </w:tr>
      <w:tr w:rsidR="00302CA0" w:rsidRPr="008E6C23" w14:paraId="4662868D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3A87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02C5" w14:textId="77777777" w:rsidR="00302CA0" w:rsidRPr="00F54185" w:rsidRDefault="00302CA0" w:rsidP="00302CA0">
            <w:pPr>
              <w:jc w:val="center"/>
            </w:pPr>
            <w:r w:rsidRPr="00F54185"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131C" w14:textId="77777777" w:rsidR="00302CA0" w:rsidRPr="00F54185" w:rsidRDefault="00302CA0" w:rsidP="00302CA0">
            <w:pPr>
              <w:jc w:val="center"/>
            </w:pPr>
            <w:r w:rsidRPr="00F54185"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0751" w14:textId="77777777" w:rsidR="00302CA0" w:rsidRPr="00F54185" w:rsidRDefault="00302CA0" w:rsidP="00302CA0">
            <w:pPr>
              <w:jc w:val="center"/>
            </w:pPr>
            <w:r w:rsidRPr="00F54185"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88DD" w14:textId="77777777" w:rsidR="00302CA0" w:rsidRPr="00F54185" w:rsidRDefault="00302CA0" w:rsidP="00302CA0">
            <w:pPr>
              <w:jc w:val="center"/>
            </w:pPr>
            <w:r w:rsidRPr="00F54185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6957" w14:textId="77777777" w:rsidR="00302CA0" w:rsidRPr="00F54185" w:rsidRDefault="00302CA0" w:rsidP="00302CA0">
            <w:pPr>
              <w:jc w:val="center"/>
            </w:pPr>
            <w:r w:rsidRPr="00F54185"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0D65" w14:textId="77777777" w:rsidR="00302CA0" w:rsidRPr="00F54185" w:rsidRDefault="00302CA0" w:rsidP="00302CA0">
            <w:pPr>
              <w:jc w:val="center"/>
            </w:pPr>
            <w:r w:rsidRPr="00F54185">
              <w:t>201</w:t>
            </w:r>
          </w:p>
        </w:tc>
      </w:tr>
      <w:tr w:rsidR="00302CA0" w:rsidRPr="008E6C23" w14:paraId="6AABB315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52A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2335" w14:textId="77777777" w:rsidR="00302CA0" w:rsidRPr="00F54185" w:rsidRDefault="00302CA0" w:rsidP="00302CA0">
            <w:pPr>
              <w:jc w:val="center"/>
            </w:pPr>
            <w:r w:rsidRPr="00F54185"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981F" w14:textId="77777777" w:rsidR="00302CA0" w:rsidRPr="00F54185" w:rsidRDefault="00302CA0" w:rsidP="00302CA0">
            <w:pPr>
              <w:jc w:val="center"/>
            </w:pPr>
            <w:r w:rsidRPr="00F54185"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BE72" w14:textId="77777777" w:rsidR="00302CA0" w:rsidRPr="00F54185" w:rsidRDefault="00302CA0" w:rsidP="00302CA0">
            <w:pPr>
              <w:jc w:val="center"/>
            </w:pPr>
            <w:r w:rsidRPr="00F54185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E572" w14:textId="77777777" w:rsidR="00302CA0" w:rsidRPr="00F54185" w:rsidRDefault="00302CA0" w:rsidP="00302CA0">
            <w:pPr>
              <w:jc w:val="center"/>
            </w:pPr>
            <w:r w:rsidRPr="00F5418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0B92" w14:textId="77777777" w:rsidR="00302CA0" w:rsidRPr="00F54185" w:rsidRDefault="00302CA0" w:rsidP="00302CA0">
            <w:pPr>
              <w:jc w:val="center"/>
            </w:pPr>
            <w:r w:rsidRPr="00F54185"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D2FB" w14:textId="77777777" w:rsidR="00302CA0" w:rsidRPr="00F54185" w:rsidRDefault="00302CA0" w:rsidP="00302CA0">
            <w:pPr>
              <w:jc w:val="center"/>
            </w:pPr>
            <w:r w:rsidRPr="00F54185">
              <w:t>111</w:t>
            </w:r>
          </w:p>
        </w:tc>
      </w:tr>
      <w:tr w:rsidR="00302CA0" w:rsidRPr="008E6C23" w14:paraId="108342CE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2CE8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98EB" w14:textId="77777777" w:rsidR="00302CA0" w:rsidRPr="00F54185" w:rsidRDefault="00302CA0" w:rsidP="00302CA0">
            <w:pPr>
              <w:jc w:val="center"/>
            </w:pPr>
            <w:r w:rsidRPr="00F54185"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6B01" w14:textId="77777777" w:rsidR="00302CA0" w:rsidRPr="00F54185" w:rsidRDefault="00302CA0" w:rsidP="00302CA0">
            <w:pPr>
              <w:jc w:val="center"/>
            </w:pPr>
            <w:r w:rsidRPr="00F54185">
              <w:t>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D3F7" w14:textId="77777777" w:rsidR="00302CA0" w:rsidRPr="00F54185" w:rsidRDefault="00302CA0" w:rsidP="00302CA0">
            <w:pPr>
              <w:jc w:val="center"/>
            </w:pPr>
            <w:r w:rsidRPr="00F54185"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72F6" w14:textId="77777777" w:rsidR="00302CA0" w:rsidRPr="00F54185" w:rsidRDefault="00302CA0" w:rsidP="00302CA0">
            <w:pPr>
              <w:jc w:val="center"/>
            </w:pPr>
            <w:r w:rsidRPr="00F54185"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251A" w14:textId="77777777" w:rsidR="00302CA0" w:rsidRPr="00F54185" w:rsidRDefault="00302CA0" w:rsidP="00302CA0">
            <w:pPr>
              <w:jc w:val="center"/>
            </w:pPr>
            <w:r w:rsidRPr="00F54185"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3934" w14:textId="77777777" w:rsidR="00302CA0" w:rsidRDefault="00302CA0" w:rsidP="00302CA0">
            <w:pPr>
              <w:jc w:val="center"/>
            </w:pPr>
            <w:r w:rsidRPr="00F54185">
              <w:t>677</w:t>
            </w:r>
          </w:p>
        </w:tc>
      </w:tr>
    </w:tbl>
    <w:p w14:paraId="16A6942F" w14:textId="77777777" w:rsidR="00302CA0" w:rsidRDefault="00302CA0" w:rsidP="00302CA0">
      <w:pPr>
        <w:pStyle w:val="Default"/>
        <w:spacing w:after="120" w:line="300" w:lineRule="auto"/>
        <w:contextualSpacing/>
        <w:rPr>
          <w:rFonts w:ascii="Arial" w:hAnsi="Arial" w:cs="Arial"/>
        </w:rPr>
      </w:pPr>
    </w:p>
    <w:p w14:paraId="25495E74" w14:textId="77777777" w:rsidR="00544631" w:rsidRDefault="00544631" w:rsidP="00302CA0">
      <w:pPr>
        <w:pStyle w:val="Default"/>
        <w:spacing w:after="120" w:line="300" w:lineRule="auto"/>
        <w:contextualSpacing/>
        <w:rPr>
          <w:rFonts w:ascii="Arial" w:hAnsi="Arial" w:cs="Arial"/>
        </w:rPr>
      </w:pPr>
    </w:p>
    <w:p w14:paraId="0AB961C2" w14:textId="77777777" w:rsidR="00544631" w:rsidRPr="008E6C23" w:rsidRDefault="00544631" w:rsidP="00302CA0">
      <w:pPr>
        <w:pStyle w:val="Default"/>
        <w:spacing w:after="120" w:line="300" w:lineRule="auto"/>
        <w:contextualSpacing/>
        <w:rPr>
          <w:rFonts w:ascii="Arial" w:hAnsi="Arial" w:cs="Arial"/>
        </w:rPr>
      </w:pPr>
    </w:p>
    <w:p w14:paraId="30C5AD27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416ED228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04E80C3F" w14:textId="2CE3FD07" w:rsidR="00302CA0" w:rsidRDefault="00302CA0" w:rsidP="006965F8">
      <w:pPr>
        <w:spacing w:after="120"/>
        <w:ind w:left="414"/>
        <w:contextualSpacing/>
        <w:rPr>
          <w:b/>
        </w:rPr>
      </w:pPr>
      <w:r w:rsidRPr="00EC0C15">
        <w:rPr>
          <w:b/>
        </w:rPr>
        <w:t>Postdoktorské projekty</w:t>
      </w:r>
    </w:p>
    <w:p w14:paraId="552A8C46" w14:textId="77777777" w:rsidR="00302CA0" w:rsidRPr="00EC0C15" w:rsidRDefault="00302CA0" w:rsidP="00302CA0">
      <w:pPr>
        <w:spacing w:after="120"/>
        <w:ind w:left="414"/>
        <w:contextualSpacing/>
        <w:jc w:val="center"/>
        <w:rPr>
          <w:b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20"/>
        <w:gridCol w:w="1020"/>
        <w:gridCol w:w="1020"/>
        <w:gridCol w:w="1020"/>
        <w:gridCol w:w="1020"/>
        <w:gridCol w:w="1020"/>
      </w:tblGrid>
      <w:tr w:rsidR="00302CA0" w:rsidRPr="008E6C23" w14:paraId="5F1BB0C4" w14:textId="77777777" w:rsidTr="00302CA0">
        <w:trPr>
          <w:trHeight w:val="19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CE5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6C383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Vynikající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5735A7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B2494B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Splněno s výhradou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2A53A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Nesplněno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979E3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Odložené hodnocení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45CECF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</w:tr>
      <w:tr w:rsidR="00302CA0" w:rsidRPr="008E6C23" w14:paraId="5902E53C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9AD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7FF6" w14:textId="77777777" w:rsidR="00302CA0" w:rsidRPr="004E3545" w:rsidRDefault="00302CA0" w:rsidP="00302CA0">
            <w:pPr>
              <w:jc w:val="center"/>
            </w:pPr>
            <w:r w:rsidRPr="004E354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B93D" w14:textId="77777777" w:rsidR="00302CA0" w:rsidRPr="004E3545" w:rsidRDefault="00302CA0" w:rsidP="00302CA0">
            <w:pPr>
              <w:jc w:val="center"/>
            </w:pPr>
            <w:r w:rsidRPr="004E3545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2DD5" w14:textId="77777777" w:rsidR="00302CA0" w:rsidRPr="004E3545" w:rsidRDefault="00302CA0" w:rsidP="00302CA0">
            <w:pPr>
              <w:jc w:val="center"/>
            </w:pPr>
            <w:r w:rsidRPr="004E354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0199" w14:textId="77777777" w:rsidR="00302CA0" w:rsidRPr="004E3545" w:rsidRDefault="00302CA0" w:rsidP="00302CA0">
            <w:pPr>
              <w:jc w:val="center"/>
            </w:pPr>
            <w:r w:rsidRPr="004E354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0D6C" w14:textId="77777777" w:rsidR="00302CA0" w:rsidRPr="004E3545" w:rsidRDefault="00302CA0" w:rsidP="00302CA0">
            <w:pPr>
              <w:jc w:val="center"/>
            </w:pPr>
            <w:r w:rsidRPr="004E354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9C9D" w14:textId="77777777" w:rsidR="00302CA0" w:rsidRPr="004E3545" w:rsidRDefault="00302CA0" w:rsidP="00302CA0">
            <w:pPr>
              <w:jc w:val="center"/>
            </w:pPr>
            <w:r w:rsidRPr="004E3545">
              <w:t>3</w:t>
            </w:r>
          </w:p>
        </w:tc>
      </w:tr>
      <w:tr w:rsidR="00302CA0" w:rsidRPr="008E6C23" w14:paraId="3DBC0240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375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3897" w14:textId="77777777" w:rsidR="00302CA0" w:rsidRPr="004E3545" w:rsidRDefault="00302CA0" w:rsidP="00302CA0">
            <w:pPr>
              <w:jc w:val="center"/>
            </w:pPr>
            <w:r w:rsidRPr="004E354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C0B6" w14:textId="77777777" w:rsidR="00302CA0" w:rsidRPr="004E3545" w:rsidRDefault="00302CA0" w:rsidP="00302CA0">
            <w:pPr>
              <w:jc w:val="center"/>
            </w:pPr>
            <w:r w:rsidRPr="004E354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E75F" w14:textId="77777777" w:rsidR="00302CA0" w:rsidRPr="004E3545" w:rsidRDefault="00302CA0" w:rsidP="00302CA0">
            <w:pPr>
              <w:jc w:val="center"/>
            </w:pPr>
            <w:r w:rsidRPr="004E3545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1EE0" w14:textId="77777777" w:rsidR="00302CA0" w:rsidRPr="004E3545" w:rsidRDefault="00302CA0" w:rsidP="00302CA0">
            <w:pPr>
              <w:jc w:val="center"/>
            </w:pPr>
            <w:r w:rsidRPr="004E354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386A" w14:textId="77777777" w:rsidR="00302CA0" w:rsidRPr="004E3545" w:rsidRDefault="00302CA0" w:rsidP="00302CA0">
            <w:pPr>
              <w:jc w:val="center"/>
            </w:pPr>
            <w:r w:rsidRPr="004E354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0775" w14:textId="77777777" w:rsidR="00302CA0" w:rsidRPr="004E3545" w:rsidRDefault="00302CA0" w:rsidP="00302CA0">
            <w:pPr>
              <w:jc w:val="center"/>
            </w:pPr>
            <w:r w:rsidRPr="004E3545">
              <w:t>3</w:t>
            </w:r>
          </w:p>
        </w:tc>
      </w:tr>
      <w:tr w:rsidR="00302CA0" w:rsidRPr="008E6C23" w14:paraId="789A2440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68E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4677" w14:textId="77777777" w:rsidR="00302CA0" w:rsidRPr="004E3545" w:rsidRDefault="00302CA0" w:rsidP="00302CA0">
            <w:pPr>
              <w:jc w:val="center"/>
            </w:pPr>
            <w:r w:rsidRPr="004E354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06E4" w14:textId="77777777" w:rsidR="00302CA0" w:rsidRPr="004E3545" w:rsidRDefault="00302CA0" w:rsidP="00302CA0">
            <w:pPr>
              <w:jc w:val="center"/>
            </w:pPr>
            <w:r w:rsidRPr="004E3545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337D" w14:textId="77777777" w:rsidR="00302CA0" w:rsidRPr="004E3545" w:rsidRDefault="00302CA0" w:rsidP="00302CA0">
            <w:pPr>
              <w:jc w:val="center"/>
            </w:pPr>
            <w:r w:rsidRPr="004E354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3A60" w14:textId="77777777" w:rsidR="00302CA0" w:rsidRPr="004E3545" w:rsidRDefault="00302CA0" w:rsidP="00302CA0">
            <w:pPr>
              <w:jc w:val="center"/>
            </w:pPr>
            <w:r w:rsidRPr="004E354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2101" w14:textId="77777777" w:rsidR="00302CA0" w:rsidRPr="004E3545" w:rsidRDefault="00302CA0" w:rsidP="00302CA0">
            <w:pPr>
              <w:jc w:val="center"/>
            </w:pPr>
            <w:r w:rsidRPr="004E3545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230A" w14:textId="77777777" w:rsidR="00302CA0" w:rsidRPr="004E3545" w:rsidRDefault="00302CA0" w:rsidP="00302CA0">
            <w:pPr>
              <w:jc w:val="center"/>
            </w:pPr>
            <w:r w:rsidRPr="004E3545">
              <w:t>6</w:t>
            </w:r>
          </w:p>
        </w:tc>
      </w:tr>
      <w:tr w:rsidR="00302CA0" w:rsidRPr="008E6C23" w14:paraId="0BD7A03B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190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E3F6" w14:textId="77777777" w:rsidR="00302CA0" w:rsidRPr="004E3545" w:rsidRDefault="00302CA0" w:rsidP="00302CA0">
            <w:pPr>
              <w:jc w:val="center"/>
            </w:pPr>
            <w:r w:rsidRPr="004E354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1542" w14:textId="77777777" w:rsidR="00302CA0" w:rsidRPr="004E3545" w:rsidRDefault="00302CA0" w:rsidP="00302CA0">
            <w:pPr>
              <w:jc w:val="center"/>
            </w:pPr>
            <w:r w:rsidRPr="004E3545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43FD" w14:textId="77777777" w:rsidR="00302CA0" w:rsidRPr="004E3545" w:rsidRDefault="00302CA0" w:rsidP="00302CA0">
            <w:pPr>
              <w:jc w:val="center"/>
            </w:pPr>
            <w:r w:rsidRPr="004E354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37E5" w14:textId="77777777" w:rsidR="00302CA0" w:rsidRPr="004E3545" w:rsidRDefault="00302CA0" w:rsidP="00302CA0">
            <w:pPr>
              <w:jc w:val="center"/>
            </w:pPr>
            <w:r w:rsidRPr="004E3545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371D" w14:textId="77777777" w:rsidR="00302CA0" w:rsidRPr="004E3545" w:rsidRDefault="00302CA0" w:rsidP="00302CA0">
            <w:pPr>
              <w:jc w:val="center"/>
            </w:pPr>
            <w:r w:rsidRPr="004E3545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3518" w14:textId="77777777" w:rsidR="00302CA0" w:rsidRPr="004E3545" w:rsidRDefault="00302CA0" w:rsidP="00302CA0">
            <w:pPr>
              <w:jc w:val="center"/>
            </w:pPr>
            <w:r w:rsidRPr="004E3545">
              <w:t>14</w:t>
            </w:r>
          </w:p>
        </w:tc>
      </w:tr>
      <w:tr w:rsidR="00302CA0" w:rsidRPr="008E6C23" w14:paraId="0F7F50F3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A7FC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635D" w14:textId="77777777" w:rsidR="00302CA0" w:rsidRPr="004E3545" w:rsidRDefault="00302CA0" w:rsidP="00302CA0">
            <w:pPr>
              <w:jc w:val="center"/>
            </w:pPr>
            <w:r w:rsidRPr="004E354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A114" w14:textId="77777777" w:rsidR="00302CA0" w:rsidRPr="004E3545" w:rsidRDefault="00302CA0" w:rsidP="00302CA0">
            <w:pPr>
              <w:jc w:val="center"/>
            </w:pPr>
            <w:r w:rsidRPr="004E3545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623F" w14:textId="77777777" w:rsidR="00302CA0" w:rsidRPr="004E3545" w:rsidRDefault="00302CA0" w:rsidP="00302CA0">
            <w:pPr>
              <w:jc w:val="center"/>
            </w:pPr>
            <w:r w:rsidRPr="004E354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D225" w14:textId="77777777" w:rsidR="00302CA0" w:rsidRPr="004E3545" w:rsidRDefault="00302CA0" w:rsidP="00302CA0">
            <w:pPr>
              <w:jc w:val="center"/>
            </w:pPr>
            <w:r w:rsidRPr="004E354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A551" w14:textId="77777777" w:rsidR="00302CA0" w:rsidRPr="004E3545" w:rsidRDefault="00302CA0" w:rsidP="00302CA0">
            <w:pPr>
              <w:jc w:val="center"/>
            </w:pPr>
            <w:r w:rsidRPr="004E3545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E008" w14:textId="77777777" w:rsidR="00302CA0" w:rsidRPr="004E3545" w:rsidRDefault="00302CA0" w:rsidP="00302CA0">
            <w:pPr>
              <w:jc w:val="center"/>
            </w:pPr>
            <w:r w:rsidRPr="004E3545">
              <w:t>9</w:t>
            </w:r>
          </w:p>
        </w:tc>
      </w:tr>
      <w:tr w:rsidR="00302CA0" w:rsidRPr="008E6C23" w14:paraId="51B5498D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D0A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7C68" w14:textId="77777777" w:rsidR="00302CA0" w:rsidRPr="004E3545" w:rsidRDefault="00302CA0" w:rsidP="00302CA0">
            <w:pPr>
              <w:jc w:val="center"/>
            </w:pPr>
            <w:r w:rsidRPr="004E3545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581A" w14:textId="77777777" w:rsidR="00302CA0" w:rsidRPr="004E3545" w:rsidRDefault="00302CA0" w:rsidP="00302CA0">
            <w:pPr>
              <w:jc w:val="center"/>
            </w:pPr>
            <w:r w:rsidRPr="004E3545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D1BC" w14:textId="77777777" w:rsidR="00302CA0" w:rsidRPr="004E3545" w:rsidRDefault="00302CA0" w:rsidP="00302CA0">
            <w:pPr>
              <w:jc w:val="center"/>
            </w:pPr>
            <w:r w:rsidRPr="004E3545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EF8A" w14:textId="77777777" w:rsidR="00302CA0" w:rsidRPr="004E3545" w:rsidRDefault="00302CA0" w:rsidP="00302CA0">
            <w:pPr>
              <w:jc w:val="center"/>
            </w:pPr>
            <w:r w:rsidRPr="004E3545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5D99" w14:textId="77777777" w:rsidR="00302CA0" w:rsidRPr="004E3545" w:rsidRDefault="00302CA0" w:rsidP="00302CA0">
            <w:pPr>
              <w:jc w:val="center"/>
            </w:pPr>
            <w:r w:rsidRPr="004E3545"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6F9B" w14:textId="77777777" w:rsidR="00302CA0" w:rsidRDefault="00302CA0" w:rsidP="00302CA0">
            <w:pPr>
              <w:jc w:val="center"/>
            </w:pPr>
            <w:r w:rsidRPr="004E3545">
              <w:t>35</w:t>
            </w:r>
          </w:p>
        </w:tc>
      </w:tr>
    </w:tbl>
    <w:p w14:paraId="1E25D3B9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541B9FBF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603ED19F" w14:textId="77777777" w:rsidR="006965F8" w:rsidRDefault="006965F8" w:rsidP="00302CA0">
      <w:pPr>
        <w:spacing w:after="120"/>
        <w:ind w:left="414"/>
        <w:contextualSpacing/>
        <w:jc w:val="center"/>
        <w:rPr>
          <w:b/>
        </w:rPr>
      </w:pPr>
    </w:p>
    <w:p w14:paraId="771E34E5" w14:textId="59991170" w:rsidR="00302CA0" w:rsidRDefault="00302CA0" w:rsidP="006965F8">
      <w:pPr>
        <w:spacing w:after="120"/>
        <w:ind w:left="414"/>
        <w:contextualSpacing/>
        <w:rPr>
          <w:b/>
        </w:rPr>
      </w:pPr>
      <w:r>
        <w:rPr>
          <w:b/>
        </w:rPr>
        <w:t>Juniorské</w:t>
      </w:r>
      <w:r w:rsidRPr="00EC0C15">
        <w:rPr>
          <w:b/>
        </w:rPr>
        <w:t xml:space="preserve"> projekty</w:t>
      </w:r>
    </w:p>
    <w:p w14:paraId="5CE02F40" w14:textId="77777777" w:rsidR="00302CA0" w:rsidRPr="00EC0C15" w:rsidRDefault="00302CA0" w:rsidP="00302CA0">
      <w:pPr>
        <w:spacing w:after="120"/>
        <w:ind w:left="414"/>
        <w:contextualSpacing/>
        <w:jc w:val="center"/>
        <w:rPr>
          <w:b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20"/>
        <w:gridCol w:w="1020"/>
        <w:gridCol w:w="1020"/>
        <w:gridCol w:w="1020"/>
        <w:gridCol w:w="1020"/>
        <w:gridCol w:w="1020"/>
      </w:tblGrid>
      <w:tr w:rsidR="00302CA0" w:rsidRPr="008E6C23" w14:paraId="531D42ED" w14:textId="77777777" w:rsidTr="00302CA0">
        <w:trPr>
          <w:trHeight w:val="19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800C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19FF03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Vynikající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8E7D6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2DD19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Splněno s výhradou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8F8B3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Nesplněno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9C516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Odložené hodnocení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AE9EE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</w:tr>
      <w:tr w:rsidR="00302CA0" w:rsidRPr="008E6C23" w14:paraId="091AB4B6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546B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49F0" w14:textId="77777777" w:rsidR="00302CA0" w:rsidRPr="00BD568A" w:rsidRDefault="00302CA0" w:rsidP="00302CA0">
            <w:pPr>
              <w:jc w:val="center"/>
            </w:pPr>
            <w:r w:rsidRPr="00BD568A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5773" w14:textId="77777777" w:rsidR="00302CA0" w:rsidRPr="00BD568A" w:rsidRDefault="00302CA0" w:rsidP="00302CA0">
            <w:pPr>
              <w:jc w:val="center"/>
            </w:pPr>
            <w:r w:rsidRPr="00BD568A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B9C3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1F4C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5597" w14:textId="77777777" w:rsidR="00302CA0" w:rsidRPr="00BD568A" w:rsidRDefault="00302CA0" w:rsidP="00302CA0">
            <w:pPr>
              <w:jc w:val="center"/>
            </w:pPr>
            <w:r w:rsidRPr="00BD568A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576C" w14:textId="77777777" w:rsidR="00302CA0" w:rsidRPr="00BD568A" w:rsidRDefault="00302CA0" w:rsidP="00302CA0">
            <w:pPr>
              <w:jc w:val="center"/>
            </w:pPr>
            <w:r w:rsidRPr="00BD568A">
              <w:t>10</w:t>
            </w:r>
          </w:p>
        </w:tc>
      </w:tr>
      <w:tr w:rsidR="00302CA0" w:rsidRPr="008E6C23" w14:paraId="6576076A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61F0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1A65" w14:textId="77777777" w:rsidR="00302CA0" w:rsidRPr="00BD568A" w:rsidRDefault="00302CA0" w:rsidP="00302CA0">
            <w:pPr>
              <w:jc w:val="center"/>
            </w:pPr>
            <w:r w:rsidRPr="00BD568A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3EE0" w14:textId="77777777" w:rsidR="00302CA0" w:rsidRPr="00BD568A" w:rsidRDefault="00302CA0" w:rsidP="00302CA0">
            <w:pPr>
              <w:jc w:val="center"/>
            </w:pPr>
            <w:r w:rsidRPr="00BD568A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FB54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AB33" w14:textId="77777777" w:rsidR="00302CA0" w:rsidRPr="00BD568A" w:rsidRDefault="00302CA0" w:rsidP="00302CA0">
            <w:pPr>
              <w:jc w:val="center"/>
            </w:pPr>
            <w:r w:rsidRPr="00BD568A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634D" w14:textId="77777777" w:rsidR="00302CA0" w:rsidRPr="00BD568A" w:rsidRDefault="00302CA0" w:rsidP="00302CA0">
            <w:pPr>
              <w:jc w:val="center"/>
            </w:pPr>
            <w:r w:rsidRPr="00BD568A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350C" w14:textId="77777777" w:rsidR="00302CA0" w:rsidRPr="00BD568A" w:rsidRDefault="00302CA0" w:rsidP="00302CA0">
            <w:pPr>
              <w:jc w:val="center"/>
            </w:pPr>
            <w:r w:rsidRPr="00BD568A">
              <w:t>19</w:t>
            </w:r>
          </w:p>
        </w:tc>
      </w:tr>
      <w:tr w:rsidR="00302CA0" w:rsidRPr="008E6C23" w14:paraId="7D18DD7C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69A9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77C6" w14:textId="77777777" w:rsidR="00302CA0" w:rsidRPr="00BD568A" w:rsidRDefault="00302CA0" w:rsidP="00302CA0">
            <w:pPr>
              <w:jc w:val="center"/>
            </w:pPr>
            <w:r w:rsidRPr="00BD568A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B8AD" w14:textId="77777777" w:rsidR="00302CA0" w:rsidRPr="00BD568A" w:rsidRDefault="00302CA0" w:rsidP="00302CA0">
            <w:pPr>
              <w:jc w:val="center"/>
            </w:pPr>
            <w:r w:rsidRPr="00BD568A"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A534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AC5C" w14:textId="77777777" w:rsidR="00302CA0" w:rsidRPr="00BD568A" w:rsidRDefault="00302CA0" w:rsidP="00302CA0">
            <w:pPr>
              <w:jc w:val="center"/>
            </w:pPr>
            <w:r w:rsidRPr="00BD568A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118D" w14:textId="77777777" w:rsidR="00302CA0" w:rsidRPr="00BD568A" w:rsidRDefault="00302CA0" w:rsidP="00302CA0">
            <w:pPr>
              <w:jc w:val="center"/>
            </w:pPr>
            <w:r w:rsidRPr="00BD568A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16AD" w14:textId="77777777" w:rsidR="00302CA0" w:rsidRPr="00BD568A" w:rsidRDefault="00302CA0" w:rsidP="00302CA0">
            <w:pPr>
              <w:jc w:val="center"/>
            </w:pPr>
            <w:r w:rsidRPr="00BD568A">
              <w:t>15</w:t>
            </w:r>
          </w:p>
        </w:tc>
      </w:tr>
      <w:tr w:rsidR="00302CA0" w:rsidRPr="008E6C23" w14:paraId="2CF4D659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DACE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D4F3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2606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936A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1E2D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87EE" w14:textId="77777777" w:rsidR="00302CA0" w:rsidRPr="00BD568A" w:rsidRDefault="00302CA0" w:rsidP="00302CA0">
            <w:pPr>
              <w:jc w:val="center"/>
            </w:pPr>
            <w:r w:rsidRPr="00BD568A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784D" w14:textId="77777777" w:rsidR="00302CA0" w:rsidRPr="00BD568A" w:rsidRDefault="00302CA0" w:rsidP="00302CA0">
            <w:pPr>
              <w:jc w:val="center"/>
            </w:pPr>
            <w:r w:rsidRPr="00BD568A">
              <w:t>6</w:t>
            </w:r>
          </w:p>
        </w:tc>
      </w:tr>
      <w:tr w:rsidR="00302CA0" w:rsidRPr="008E6C23" w14:paraId="11C5DF45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CE6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01DC" w14:textId="77777777" w:rsidR="00302CA0" w:rsidRPr="00BD568A" w:rsidRDefault="00302CA0" w:rsidP="00302CA0">
            <w:pPr>
              <w:jc w:val="center"/>
            </w:pPr>
            <w:r w:rsidRPr="00BD568A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0147" w14:textId="77777777" w:rsidR="00302CA0" w:rsidRPr="00BD568A" w:rsidRDefault="00302CA0" w:rsidP="00302CA0">
            <w:pPr>
              <w:jc w:val="center"/>
            </w:pPr>
            <w:r w:rsidRPr="00BD568A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EF03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276B" w14:textId="77777777" w:rsidR="00302CA0" w:rsidRPr="00BD568A" w:rsidRDefault="00302CA0" w:rsidP="00302CA0">
            <w:pPr>
              <w:jc w:val="center"/>
            </w:pPr>
            <w:r w:rsidRPr="00BD568A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3233" w14:textId="77777777" w:rsidR="00302CA0" w:rsidRPr="00BD568A" w:rsidRDefault="00302CA0" w:rsidP="00302CA0">
            <w:pPr>
              <w:jc w:val="center"/>
            </w:pPr>
            <w:r w:rsidRPr="00BD568A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B1F5" w14:textId="77777777" w:rsidR="00302CA0" w:rsidRPr="00BD568A" w:rsidRDefault="00302CA0" w:rsidP="00302CA0">
            <w:pPr>
              <w:jc w:val="center"/>
            </w:pPr>
            <w:r w:rsidRPr="00BD568A">
              <w:t>9</w:t>
            </w:r>
          </w:p>
        </w:tc>
      </w:tr>
      <w:tr w:rsidR="00302CA0" w:rsidRPr="008E6C23" w14:paraId="2C3F37D5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6AE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0F64" w14:textId="77777777" w:rsidR="00302CA0" w:rsidRPr="00BD568A" w:rsidRDefault="00302CA0" w:rsidP="00302CA0">
            <w:pPr>
              <w:jc w:val="center"/>
            </w:pPr>
            <w:r w:rsidRPr="00BD568A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44AB" w14:textId="77777777" w:rsidR="00302CA0" w:rsidRPr="00BD568A" w:rsidRDefault="00302CA0" w:rsidP="00302CA0">
            <w:pPr>
              <w:jc w:val="center"/>
            </w:pPr>
            <w:r w:rsidRPr="00BD568A"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500E" w14:textId="77777777" w:rsidR="00302CA0" w:rsidRPr="00BD568A" w:rsidRDefault="00302CA0" w:rsidP="00302CA0">
            <w:pPr>
              <w:jc w:val="center"/>
            </w:pPr>
            <w:r w:rsidRPr="00BD568A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ED59" w14:textId="77777777" w:rsidR="00302CA0" w:rsidRPr="00BD568A" w:rsidRDefault="00302CA0" w:rsidP="00302CA0">
            <w:pPr>
              <w:jc w:val="center"/>
            </w:pPr>
            <w:r w:rsidRPr="00BD568A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3504" w14:textId="77777777" w:rsidR="00302CA0" w:rsidRPr="00BD568A" w:rsidRDefault="00302CA0" w:rsidP="00302CA0">
            <w:pPr>
              <w:jc w:val="center"/>
            </w:pPr>
            <w:r w:rsidRPr="00BD568A"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B172" w14:textId="77777777" w:rsidR="00302CA0" w:rsidRDefault="00302CA0" w:rsidP="00302CA0">
            <w:pPr>
              <w:jc w:val="center"/>
            </w:pPr>
            <w:r w:rsidRPr="00BD568A">
              <w:t>59</w:t>
            </w:r>
          </w:p>
        </w:tc>
      </w:tr>
    </w:tbl>
    <w:p w14:paraId="104DC2EB" w14:textId="77777777" w:rsidR="00302CA0" w:rsidRDefault="00302CA0" w:rsidP="00302CA0">
      <w:pPr>
        <w:tabs>
          <w:tab w:val="left" w:pos="6804"/>
        </w:tabs>
        <w:spacing w:after="120"/>
      </w:pPr>
    </w:p>
    <w:p w14:paraId="123B715D" w14:textId="77777777" w:rsidR="00302CA0" w:rsidRDefault="00302CA0" w:rsidP="00302CA0">
      <w:pPr>
        <w:tabs>
          <w:tab w:val="left" w:pos="6804"/>
        </w:tabs>
        <w:spacing w:after="120"/>
      </w:pPr>
    </w:p>
    <w:p w14:paraId="0D78B4E9" w14:textId="77777777" w:rsidR="00544631" w:rsidRDefault="00544631" w:rsidP="00302CA0">
      <w:pPr>
        <w:tabs>
          <w:tab w:val="left" w:pos="6804"/>
        </w:tabs>
        <w:spacing w:after="120"/>
      </w:pPr>
    </w:p>
    <w:p w14:paraId="6AC103FE" w14:textId="77777777" w:rsidR="00302CA0" w:rsidRDefault="00302CA0" w:rsidP="006965F8">
      <w:pPr>
        <w:spacing w:after="120"/>
        <w:ind w:left="414"/>
        <w:contextualSpacing/>
        <w:rPr>
          <w:b/>
        </w:rPr>
      </w:pPr>
      <w:r w:rsidRPr="00EC0C15">
        <w:rPr>
          <w:b/>
        </w:rPr>
        <w:t>Mezinárodní (bilaterální) projekty</w:t>
      </w:r>
    </w:p>
    <w:p w14:paraId="09C30DB4" w14:textId="77777777" w:rsidR="00302CA0" w:rsidRPr="00EC0C15" w:rsidRDefault="00302CA0" w:rsidP="00302CA0">
      <w:pPr>
        <w:spacing w:after="120"/>
        <w:ind w:left="414"/>
        <w:contextualSpacing/>
        <w:jc w:val="center"/>
        <w:rPr>
          <w:b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20"/>
        <w:gridCol w:w="1020"/>
        <w:gridCol w:w="1020"/>
        <w:gridCol w:w="1020"/>
        <w:gridCol w:w="1020"/>
        <w:gridCol w:w="1020"/>
      </w:tblGrid>
      <w:tr w:rsidR="00302CA0" w:rsidRPr="008E6C23" w14:paraId="7DAABDB2" w14:textId="77777777" w:rsidTr="00302CA0">
        <w:trPr>
          <w:trHeight w:val="19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717C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Oblast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B5346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Vynikající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D68B3B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Splněno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8385D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Splněno s výhradou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73123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Nesplněno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4CE08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Odložené hodnocení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0B2DE" w14:textId="77777777" w:rsidR="00302CA0" w:rsidRPr="00EC0C15" w:rsidRDefault="00302CA0" w:rsidP="00302CA0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0C15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</w:tr>
      <w:tr w:rsidR="00302CA0" w:rsidRPr="008E6C23" w14:paraId="2B45E0AA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47B5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technické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AFEA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7095" w14:textId="77777777" w:rsidR="00302CA0" w:rsidRPr="000D15F5" w:rsidRDefault="00302CA0" w:rsidP="00302CA0">
            <w:pPr>
              <w:jc w:val="center"/>
            </w:pPr>
            <w:r w:rsidRPr="000D15F5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F666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5AAE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A4D2" w14:textId="77777777" w:rsidR="00302CA0" w:rsidRPr="000D15F5" w:rsidRDefault="00302CA0" w:rsidP="00302CA0">
            <w:pPr>
              <w:jc w:val="center"/>
            </w:pPr>
            <w:r w:rsidRPr="000D15F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DD6F" w14:textId="77777777" w:rsidR="00302CA0" w:rsidRPr="000D15F5" w:rsidRDefault="00302CA0" w:rsidP="00302CA0">
            <w:pPr>
              <w:jc w:val="center"/>
            </w:pPr>
            <w:r w:rsidRPr="000D15F5">
              <w:t>4</w:t>
            </w:r>
          </w:p>
        </w:tc>
      </w:tr>
      <w:tr w:rsidR="00302CA0" w:rsidRPr="008E6C23" w14:paraId="120EA3B8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E78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vědy o neživé přírodě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2AB9" w14:textId="77777777" w:rsidR="00302CA0" w:rsidRPr="000D15F5" w:rsidRDefault="00302CA0" w:rsidP="00302CA0">
            <w:pPr>
              <w:jc w:val="center"/>
            </w:pPr>
            <w:r w:rsidRPr="000D15F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DFD5" w14:textId="77777777" w:rsidR="00302CA0" w:rsidRPr="000D15F5" w:rsidRDefault="00302CA0" w:rsidP="00302CA0">
            <w:pPr>
              <w:jc w:val="center"/>
            </w:pPr>
            <w:r w:rsidRPr="000D15F5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EC69" w14:textId="77777777" w:rsidR="00302CA0" w:rsidRPr="000D15F5" w:rsidRDefault="00302CA0" w:rsidP="00302CA0">
            <w:pPr>
              <w:jc w:val="center"/>
            </w:pPr>
            <w:r w:rsidRPr="000D15F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3F8E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E208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36A1" w14:textId="77777777" w:rsidR="00302CA0" w:rsidRPr="000D15F5" w:rsidRDefault="00302CA0" w:rsidP="00302CA0">
            <w:pPr>
              <w:jc w:val="center"/>
            </w:pPr>
            <w:r w:rsidRPr="000D15F5">
              <w:t>6</w:t>
            </w:r>
          </w:p>
        </w:tc>
      </w:tr>
      <w:tr w:rsidR="00302CA0" w:rsidRPr="008E6C23" w14:paraId="321BE286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8C87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lékařské a biologické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0A36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7411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575D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648D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3FEC" w14:textId="77777777" w:rsidR="00302CA0" w:rsidRPr="000D15F5" w:rsidRDefault="00302CA0" w:rsidP="00302CA0">
            <w:pPr>
              <w:jc w:val="center"/>
            </w:pPr>
            <w:r w:rsidRPr="000D15F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449D" w14:textId="77777777" w:rsidR="00302CA0" w:rsidRPr="000D15F5" w:rsidRDefault="00302CA0" w:rsidP="00302CA0">
            <w:pPr>
              <w:jc w:val="center"/>
            </w:pPr>
            <w:r w:rsidRPr="000D15F5">
              <w:t>1</w:t>
            </w:r>
          </w:p>
        </w:tc>
      </w:tr>
      <w:tr w:rsidR="00302CA0" w:rsidRPr="008E6C23" w14:paraId="480259F5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DF3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společenské a humanitní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5A39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1BCA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017A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9124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FA9B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CEB1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</w:tr>
      <w:tr w:rsidR="00302CA0" w:rsidRPr="008E6C23" w14:paraId="00AA1FC1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702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zemědělské a biologicko-environmentální vědy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3AC0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951D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70AC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5FFC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16CB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5831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</w:tr>
      <w:tr w:rsidR="00302CA0" w:rsidRPr="008E6C23" w14:paraId="184F89B5" w14:textId="77777777" w:rsidTr="00302CA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B53" w14:textId="77777777" w:rsidR="00302CA0" w:rsidRPr="008E6C23" w:rsidRDefault="00302CA0" w:rsidP="00302CA0">
            <w:pPr>
              <w:spacing w:after="120" w:line="240" w:lineRule="auto"/>
              <w:contextualSpacing/>
              <w:jc w:val="left"/>
              <w:rPr>
                <w:rFonts w:eastAsia="Times New Roman"/>
                <w:color w:val="000000"/>
                <w:lang w:eastAsia="cs-CZ"/>
              </w:rPr>
            </w:pPr>
            <w:r w:rsidRPr="008E6C23"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B912" w14:textId="77777777" w:rsidR="00302CA0" w:rsidRPr="000D15F5" w:rsidRDefault="00302CA0" w:rsidP="00302CA0">
            <w:pPr>
              <w:jc w:val="center"/>
            </w:pPr>
            <w:r w:rsidRPr="000D15F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DC8B" w14:textId="77777777" w:rsidR="00302CA0" w:rsidRPr="000D15F5" w:rsidRDefault="00302CA0" w:rsidP="00302CA0">
            <w:pPr>
              <w:jc w:val="center"/>
            </w:pPr>
            <w:r w:rsidRPr="000D15F5"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78FF" w14:textId="77777777" w:rsidR="00302CA0" w:rsidRPr="000D15F5" w:rsidRDefault="00302CA0" w:rsidP="00302CA0">
            <w:pPr>
              <w:jc w:val="center"/>
            </w:pPr>
            <w:r w:rsidRPr="000D15F5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8077" w14:textId="77777777" w:rsidR="00302CA0" w:rsidRPr="000D15F5" w:rsidRDefault="00302CA0" w:rsidP="00302CA0">
            <w:pPr>
              <w:jc w:val="center"/>
            </w:pPr>
            <w:r w:rsidRPr="000D15F5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270D" w14:textId="77777777" w:rsidR="00302CA0" w:rsidRPr="000D15F5" w:rsidRDefault="00302CA0" w:rsidP="00302CA0">
            <w:pPr>
              <w:jc w:val="center"/>
            </w:pPr>
            <w:r w:rsidRPr="000D15F5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050D" w14:textId="77777777" w:rsidR="00302CA0" w:rsidRDefault="00302CA0" w:rsidP="00302CA0">
            <w:pPr>
              <w:jc w:val="center"/>
            </w:pPr>
            <w:r w:rsidRPr="000D15F5">
              <w:t>11</w:t>
            </w:r>
          </w:p>
        </w:tc>
      </w:tr>
    </w:tbl>
    <w:p w14:paraId="3E62B142" w14:textId="77777777" w:rsidR="00302CA0" w:rsidRPr="0063507F" w:rsidRDefault="00302CA0" w:rsidP="00476FD4">
      <w:pPr>
        <w:tabs>
          <w:tab w:val="left" w:pos="6804"/>
        </w:tabs>
        <w:spacing w:after="120"/>
      </w:pPr>
    </w:p>
    <w:p w14:paraId="6B36F5E9" w14:textId="3FA64A1F" w:rsidR="00476FD4" w:rsidRDefault="00C94590" w:rsidP="00476F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</w:pPr>
      <w:r w:rsidRPr="00476FD4">
        <w:t xml:space="preserve">Výsledky hodnocení závěrečných zpráv – stejně tak jako u zpráv </w:t>
      </w:r>
      <w:r w:rsidR="00D93434">
        <w:t>dílčích</w:t>
      </w:r>
      <w:r w:rsidR="00D93434" w:rsidRPr="00476FD4">
        <w:t xml:space="preserve"> </w:t>
      </w:r>
      <w:r w:rsidRPr="00476FD4">
        <w:t xml:space="preserve">– přinášejí řadu problémů, o kterých se jedná </w:t>
      </w:r>
      <w:r w:rsidR="00CE2F49">
        <w:t>(</w:t>
      </w:r>
      <w:r w:rsidRPr="00476FD4">
        <w:t xml:space="preserve">je snaha nastavit, či lépe řečeno upravit pravidla </w:t>
      </w:r>
      <w:r w:rsidR="001F7A48">
        <w:t>z</w:t>
      </w:r>
      <w:r w:rsidR="001F7A48" w:rsidRPr="00476FD4">
        <w:t xml:space="preserve">adávací </w:t>
      </w:r>
      <w:r w:rsidRPr="00476FD4">
        <w:t>dokumentace tak, aby k nim nedocházelo</w:t>
      </w:r>
      <w:r w:rsidR="00CE2F49">
        <w:t>)</w:t>
      </w:r>
      <w:r w:rsidRPr="00476FD4">
        <w:t>. Především projekty z oblasti společenských a humanitních věd</w:t>
      </w:r>
      <w:r w:rsidR="007827BD">
        <w:t xml:space="preserve"> (OK 4)</w:t>
      </w:r>
      <w:r w:rsidRPr="00476FD4">
        <w:t xml:space="preserve"> mají – ve srovnání s dalšími vědními obory – neustále nejvyšší počet odložených zpráv. </w:t>
      </w:r>
      <w:r w:rsidR="00476FD4" w:rsidRPr="00476FD4">
        <w:t xml:space="preserve">Důvodem </w:t>
      </w:r>
      <w:r w:rsidR="00D50AD6">
        <w:t>je</w:t>
      </w:r>
      <w:r w:rsidR="00476FD4" w:rsidRPr="00476FD4">
        <w:t xml:space="preserve"> druh a rozsah publikačních výstupů i na to navazující dlouhé recenzí řízení. Odložení hodnocení závěrečné zprávy však může být považováno i za nedodržení harmonogramu řešení projektu (což se v některých panelech zcela právem diskutuje).</w:t>
      </w:r>
      <w:r w:rsidR="00476FD4" w:rsidRPr="00476FD4">
        <w:rPr>
          <w:rStyle w:val="Znakapoznpodarou"/>
        </w:rPr>
        <w:footnoteReference w:id="2"/>
      </w:r>
      <w:r w:rsidR="00476FD4" w:rsidRPr="00476FD4">
        <w:t xml:space="preserve"> </w:t>
      </w:r>
    </w:p>
    <w:p w14:paraId="3684C9AE" w14:textId="77777777" w:rsidR="00476FD4" w:rsidRPr="009E5BBD" w:rsidRDefault="00476FD4" w:rsidP="00544631">
      <w:pPr>
        <w:pStyle w:val="Nadpis1"/>
      </w:pPr>
      <w:r>
        <w:t xml:space="preserve">Kontrolní činnost </w:t>
      </w:r>
    </w:p>
    <w:p w14:paraId="1F39F08E" w14:textId="70FC2F3E" w:rsidR="009E5BBD" w:rsidRPr="009E5BBD" w:rsidRDefault="009E5BBD" w:rsidP="00302CA0">
      <w:pPr>
        <w:tabs>
          <w:tab w:val="left" w:pos="6804"/>
        </w:tabs>
        <w:spacing w:after="120"/>
        <w:ind w:firstLine="708"/>
      </w:pPr>
      <w:r w:rsidRPr="009E5BBD">
        <w:t xml:space="preserve">Jak již bylo výše uvedeno, </w:t>
      </w:r>
      <w:r w:rsidR="00302CA0" w:rsidRPr="009E5BBD">
        <w:t xml:space="preserve">členové KR </w:t>
      </w:r>
      <w:r w:rsidRPr="009E5BBD">
        <w:t xml:space="preserve">navštěvovali i v tomto sledovaném období (od října 2017 do </w:t>
      </w:r>
      <w:r w:rsidR="007827BD">
        <w:t>září</w:t>
      </w:r>
      <w:r w:rsidRPr="009E5BBD">
        <w:t xml:space="preserve"> 2018) některá zasedání</w:t>
      </w:r>
      <w:r w:rsidR="00302CA0" w:rsidRPr="009E5BBD">
        <w:t xml:space="preserve"> hodnoticích panelů a oborových komisí</w:t>
      </w:r>
      <w:r w:rsidR="007827BD">
        <w:t xml:space="preserve"> (vzhledem k počtu členů KR není možné navštívit všechna jednání, ale KR se snaží o vyváženost těchto návštěv v rámci jednotlivých vědních oborů)</w:t>
      </w:r>
      <w:r w:rsidR="00302CA0" w:rsidRPr="009E5BBD">
        <w:t xml:space="preserve">. </w:t>
      </w:r>
      <w:r w:rsidRPr="009E5BBD">
        <w:t xml:space="preserve">Hlavním úkolem je vždy </w:t>
      </w:r>
      <w:r w:rsidRPr="00F03AE1">
        <w:rPr>
          <w:b/>
        </w:rPr>
        <w:t>k</w:t>
      </w:r>
      <w:r w:rsidR="00302CA0" w:rsidRPr="00F03AE1">
        <w:rPr>
          <w:b/>
        </w:rPr>
        <w:t>ontrola jednotného postupu při hodnocení</w:t>
      </w:r>
      <w:r w:rsidR="00302CA0" w:rsidRPr="009E5BBD">
        <w:t xml:space="preserve"> a dodržení s</w:t>
      </w:r>
      <w:r w:rsidRPr="009E5BBD">
        <w:t xml:space="preserve">ouladu </w:t>
      </w:r>
      <w:r w:rsidR="001F7A48" w:rsidRPr="009E5BBD">
        <w:t>hodnot</w:t>
      </w:r>
      <w:r w:rsidR="001F7A48">
        <w:t>i</w:t>
      </w:r>
      <w:r w:rsidR="001F7A48" w:rsidRPr="009E5BBD">
        <w:t xml:space="preserve">cích </w:t>
      </w:r>
      <w:r w:rsidRPr="009E5BBD">
        <w:t xml:space="preserve">kritérií se </w:t>
      </w:r>
      <w:r w:rsidR="001F7A48">
        <w:t>z</w:t>
      </w:r>
      <w:r w:rsidR="001F7A48" w:rsidRPr="009E5BBD">
        <w:t xml:space="preserve">adávací </w:t>
      </w:r>
      <w:r w:rsidR="00302CA0" w:rsidRPr="009E5BBD">
        <w:t>dokumentací</w:t>
      </w:r>
      <w:r w:rsidR="00B7761C" w:rsidRPr="00B7761C">
        <w:t xml:space="preserve"> </w:t>
      </w:r>
      <w:r w:rsidR="00B7761C">
        <w:t>i s etickými a legislativními pravidly VaV</w:t>
      </w:r>
      <w:r w:rsidR="00302CA0" w:rsidRPr="009E5BBD">
        <w:t xml:space="preserve">. Převážné většiny všech zasedání panelů a oborových komisí se </w:t>
      </w:r>
      <w:r w:rsidR="007827BD">
        <w:t xml:space="preserve">zároveň </w:t>
      </w:r>
      <w:r w:rsidR="00302CA0" w:rsidRPr="009E5BBD">
        <w:t xml:space="preserve">zúčastňovali </w:t>
      </w:r>
      <w:r w:rsidR="00302CA0" w:rsidRPr="00F03AE1">
        <w:rPr>
          <w:b/>
        </w:rPr>
        <w:t>pověření členové předsednictva GA Č</w:t>
      </w:r>
      <w:r w:rsidRPr="00F03AE1">
        <w:rPr>
          <w:b/>
        </w:rPr>
        <w:t>R</w:t>
      </w:r>
      <w:r w:rsidRPr="009E5BBD">
        <w:t xml:space="preserve"> a jejich účast tak přispívala</w:t>
      </w:r>
      <w:r w:rsidR="00302CA0" w:rsidRPr="009E5BBD">
        <w:t xml:space="preserve"> ke korektnímu průběhu hodnocení. </w:t>
      </w:r>
      <w:r w:rsidRPr="009E5BBD">
        <w:t>Na těchto zasedáních jsou také přítomni pracovníci kanceláře GA</w:t>
      </w:r>
      <w:r w:rsidR="00462D9F">
        <w:t xml:space="preserve"> </w:t>
      </w:r>
      <w:r w:rsidRPr="009E5BBD">
        <w:t xml:space="preserve">ČR (pověření pro jednotlivé oborové rady, tedy vědní oblasti), jejichž práce napomáhá nejen bezchybnému průběhu zasedání, ale kteří </w:t>
      </w:r>
      <w:r w:rsidR="00D50AD6">
        <w:t>sledují</w:t>
      </w:r>
      <w:r w:rsidR="00D50AD6" w:rsidRPr="009E5BBD">
        <w:t xml:space="preserve"> </w:t>
      </w:r>
      <w:r w:rsidRPr="009E5BBD">
        <w:t xml:space="preserve">např. i možné střety zájmu členů apod. </w:t>
      </w:r>
    </w:p>
    <w:p w14:paraId="5D39EC44" w14:textId="0CC10B92" w:rsidR="009E5BBD" w:rsidRPr="0088744D" w:rsidRDefault="009E5BBD" w:rsidP="009E5BBD">
      <w:pPr>
        <w:tabs>
          <w:tab w:val="left" w:pos="6804"/>
        </w:tabs>
        <w:spacing w:after="120"/>
        <w:ind w:firstLine="708"/>
      </w:pPr>
      <w:r w:rsidRPr="0088744D">
        <w:t>Na zasedáních odborných panelů a oborových komisí (</w:t>
      </w:r>
      <w:r w:rsidR="00302CA0" w:rsidRPr="0088744D">
        <w:t xml:space="preserve">všech třech </w:t>
      </w:r>
      <w:r w:rsidRPr="0088744D">
        <w:t xml:space="preserve">výše uvedených fázích hodnocení) </w:t>
      </w:r>
      <w:r w:rsidR="00302CA0" w:rsidRPr="0088744D">
        <w:t xml:space="preserve">bylo členy KR </w:t>
      </w:r>
      <w:r w:rsidR="00302CA0" w:rsidRPr="00F03AE1">
        <w:rPr>
          <w:b/>
        </w:rPr>
        <w:t xml:space="preserve">fyzicky celkem provedeno </w:t>
      </w:r>
      <w:r w:rsidR="007827BD" w:rsidRPr="00F03AE1">
        <w:rPr>
          <w:b/>
        </w:rPr>
        <w:t xml:space="preserve">74 </w:t>
      </w:r>
      <w:r w:rsidRPr="00F03AE1">
        <w:rPr>
          <w:b/>
        </w:rPr>
        <w:t>kontrol.</w:t>
      </w:r>
      <w:r w:rsidRPr="0088744D">
        <w:t xml:space="preserve"> Každý člen KR pak z těchto </w:t>
      </w:r>
      <w:r w:rsidR="0088744D" w:rsidRPr="0088744D">
        <w:t>kontrol zhotov</w:t>
      </w:r>
      <w:r w:rsidR="007827BD">
        <w:t>il</w:t>
      </w:r>
      <w:r w:rsidR="0088744D" w:rsidRPr="0088744D">
        <w:t xml:space="preserve"> krátkou </w:t>
      </w:r>
      <w:r w:rsidRPr="0088744D">
        <w:t>zprávu a vždy na následujícím zasedání KR refer</w:t>
      </w:r>
      <w:r w:rsidR="007827BD">
        <w:t>oval</w:t>
      </w:r>
      <w:r w:rsidRPr="0088744D">
        <w:t xml:space="preserve"> o nejdůležitějších skutečnostech. V dosavadní praxi se již mnohokrát stalo, že případná stížn</w:t>
      </w:r>
      <w:r w:rsidR="0088744D" w:rsidRPr="0088744D">
        <w:t>o</w:t>
      </w:r>
      <w:r w:rsidRPr="0088744D">
        <w:t>st žadatele byla vyřizována s </w:t>
      </w:r>
      <w:r w:rsidR="0088744D" w:rsidRPr="0088744D">
        <w:t>osob</w:t>
      </w:r>
      <w:r w:rsidRPr="0088744D">
        <w:t xml:space="preserve">ní </w:t>
      </w:r>
      <w:r w:rsidR="0088744D" w:rsidRPr="0088744D">
        <w:t xml:space="preserve">znalostí člena KR z diskuse na panelu či oborové komisi. Se zkušenostmi z hodnocení seznamuje KR pravidelně předsedkyně KR </w:t>
      </w:r>
      <w:r w:rsidR="001F7A48">
        <w:t>p</w:t>
      </w:r>
      <w:r w:rsidR="001F7A48" w:rsidRPr="0088744D">
        <w:t xml:space="preserve">ředsednictvo </w:t>
      </w:r>
      <w:r w:rsidR="0088744D" w:rsidRPr="0088744D">
        <w:t>GA</w:t>
      </w:r>
      <w:r w:rsidR="00462D9F">
        <w:t xml:space="preserve"> </w:t>
      </w:r>
      <w:r w:rsidR="0088744D" w:rsidRPr="0088744D">
        <w:t>ČR.</w:t>
      </w:r>
    </w:p>
    <w:p w14:paraId="1229D9CD" w14:textId="77777777" w:rsidR="009E5BBD" w:rsidRDefault="009E5BBD" w:rsidP="009E5BBD">
      <w:pPr>
        <w:tabs>
          <w:tab w:val="left" w:pos="6804"/>
        </w:tabs>
        <w:spacing w:after="120"/>
        <w:ind w:firstLine="708"/>
        <w:rPr>
          <w:color w:val="FF0000"/>
        </w:rPr>
      </w:pPr>
    </w:p>
    <w:p w14:paraId="6A9552EE" w14:textId="77777777" w:rsidR="00E35A86" w:rsidRPr="008904DD" w:rsidRDefault="00E35A86" w:rsidP="0088744D">
      <w:pPr>
        <w:tabs>
          <w:tab w:val="left" w:pos="6804"/>
        </w:tabs>
        <w:spacing w:after="120"/>
        <w:rPr>
          <w:b/>
        </w:rPr>
      </w:pPr>
      <w:r w:rsidRPr="0091006A">
        <w:rPr>
          <w:b/>
        </w:rPr>
        <w:t>Hodnocení čerpání finančních prostředků poskytnutých příjemcům na řešení projektů</w:t>
      </w:r>
    </w:p>
    <w:p w14:paraId="7D9B5CE8" w14:textId="089F8615" w:rsidR="00E35A86" w:rsidRPr="0088744D" w:rsidRDefault="00E35A86" w:rsidP="00D93434">
      <w:pPr>
        <w:spacing w:after="120"/>
        <w:ind w:firstLine="709"/>
        <w:contextualSpacing/>
      </w:pPr>
      <w:r w:rsidRPr="0088744D">
        <w:t xml:space="preserve">V uplynulém období KR úzce spolupracovala s </w:t>
      </w:r>
      <w:r w:rsidRPr="0088744D">
        <w:rPr>
          <w:b/>
        </w:rPr>
        <w:t xml:space="preserve">úsekem kontroly Kanceláře GA ČR </w:t>
      </w:r>
      <w:r w:rsidRPr="0088744D">
        <w:t>při kontrolách čerpání finančních prostředků poskytnutých příjemcům na řešení projektů. Většina kontrol probíhala podle předem schváleného plánu kontrol. Další část projektů pak byla kontrolována na základě požadavků KR, odborných panelů a oborových komisí. Kontroly proběhly formou veřejnosprávní kontroly</w:t>
      </w:r>
      <w:r w:rsidR="008904DD" w:rsidRPr="0088744D">
        <w:t>,</w:t>
      </w:r>
      <w:r w:rsidR="00D93434">
        <w:br/>
        <w:t>na místě</w:t>
      </w:r>
      <w:r w:rsidR="008904DD" w:rsidRPr="0088744D">
        <w:t xml:space="preserve">. Za sledované období říjen 2017 až </w:t>
      </w:r>
      <w:r w:rsidR="007827BD">
        <w:t>září</w:t>
      </w:r>
      <w:r w:rsidR="008904DD" w:rsidRPr="0088744D">
        <w:t xml:space="preserve"> 2018</w:t>
      </w:r>
      <w:r w:rsidRPr="0088744D">
        <w:t xml:space="preserve"> bylo zko</w:t>
      </w:r>
      <w:r w:rsidR="008904DD" w:rsidRPr="0088744D">
        <w:t xml:space="preserve">ntrolováno celkem </w:t>
      </w:r>
      <w:r w:rsidR="007827BD">
        <w:t>186</w:t>
      </w:r>
      <w:r w:rsidRPr="0088744D">
        <w:t xml:space="preserve"> grantových proje</w:t>
      </w:r>
      <w:r w:rsidR="008904DD" w:rsidRPr="0088744D">
        <w:t>ktů u následujících příjemců (</w:t>
      </w:r>
      <w:r w:rsidR="007827BD">
        <w:t>9</w:t>
      </w:r>
      <w:r w:rsidRPr="0088744D">
        <w:t xml:space="preserve"> institucí):</w:t>
      </w:r>
    </w:p>
    <w:p w14:paraId="4C48386D" w14:textId="77777777" w:rsidR="008904DD" w:rsidRPr="0088744D" w:rsidRDefault="008904DD" w:rsidP="00D93434">
      <w:pPr>
        <w:spacing w:after="0" w:line="240" w:lineRule="auto"/>
        <w:rPr>
          <w:rFonts w:cs="Times New Roman"/>
          <w:iCs/>
        </w:rPr>
      </w:pPr>
    </w:p>
    <w:p w14:paraId="09A98917" w14:textId="77777777" w:rsidR="008904DD" w:rsidRPr="0088744D" w:rsidRDefault="008904DD" w:rsidP="008904DD">
      <w:pPr>
        <w:spacing w:after="0" w:line="240" w:lineRule="auto"/>
        <w:rPr>
          <w:rFonts w:cs="Times New Roman"/>
          <w:iCs/>
        </w:rPr>
      </w:pPr>
      <w:r w:rsidRPr="0088744D">
        <w:rPr>
          <w:rFonts w:cs="Times New Roman"/>
          <w:iCs/>
        </w:rPr>
        <w:t>Konkrétně to byly:</w:t>
      </w:r>
    </w:p>
    <w:p w14:paraId="47FCE284" w14:textId="77777777" w:rsidR="008904DD" w:rsidRPr="0088744D" w:rsidRDefault="008904DD" w:rsidP="008904DD">
      <w:pPr>
        <w:spacing w:after="0" w:line="240" w:lineRule="auto"/>
        <w:rPr>
          <w:rFonts w:cs="Times New Roman"/>
          <w:iCs/>
        </w:rPr>
      </w:pPr>
    </w:p>
    <w:p w14:paraId="4B8AAD68" w14:textId="77777777" w:rsidR="008904DD" w:rsidRPr="0088744D" w:rsidRDefault="008904DD" w:rsidP="008904DD">
      <w:pPr>
        <w:spacing w:after="0" w:line="240" w:lineRule="auto"/>
        <w:rPr>
          <w:rFonts w:cs="Times New Roman"/>
          <w:iCs/>
        </w:rPr>
      </w:pPr>
      <w:r w:rsidRPr="0088744D">
        <w:rPr>
          <w:rFonts w:cs="Times New Roman"/>
          <w:iCs/>
        </w:rPr>
        <w:t>Fyzikální ústav AV ČR, v.v.i.</w:t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  <w:t>60 projektů</w:t>
      </w:r>
    </w:p>
    <w:p w14:paraId="222B4540" w14:textId="77777777" w:rsidR="008904DD" w:rsidRPr="0088744D" w:rsidRDefault="008904DD" w:rsidP="008904DD">
      <w:pPr>
        <w:spacing w:after="0" w:line="240" w:lineRule="auto"/>
        <w:rPr>
          <w:rFonts w:cs="Times New Roman"/>
          <w:iCs/>
        </w:rPr>
      </w:pPr>
      <w:r w:rsidRPr="0088744D">
        <w:rPr>
          <w:rFonts w:cs="Times New Roman"/>
          <w:iCs/>
        </w:rPr>
        <w:t>Ústav státu a práva AV ČR, v.v.i.</w:t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  <w:t xml:space="preserve">  </w:t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  <w:t xml:space="preserve">  4 projekty</w:t>
      </w:r>
    </w:p>
    <w:p w14:paraId="710C7340" w14:textId="77777777" w:rsidR="008904DD" w:rsidRPr="0088744D" w:rsidRDefault="008904DD" w:rsidP="008904DD">
      <w:pPr>
        <w:spacing w:after="0" w:line="240" w:lineRule="auto"/>
        <w:rPr>
          <w:rFonts w:cs="Times New Roman"/>
          <w:iCs/>
        </w:rPr>
      </w:pPr>
      <w:r w:rsidRPr="0088744D">
        <w:rPr>
          <w:rFonts w:cs="Times New Roman"/>
          <w:iCs/>
        </w:rPr>
        <w:t>Biologické centrum AV ČR, v.v.i.</w:t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  <w:t>29 projektů</w:t>
      </w:r>
    </w:p>
    <w:p w14:paraId="05AE57A3" w14:textId="77777777" w:rsidR="008904DD" w:rsidRDefault="008904DD" w:rsidP="008904DD">
      <w:pPr>
        <w:spacing w:after="0" w:line="240" w:lineRule="auto"/>
        <w:rPr>
          <w:rFonts w:cs="Times New Roman"/>
          <w:iCs/>
        </w:rPr>
      </w:pPr>
      <w:r w:rsidRPr="0088744D">
        <w:rPr>
          <w:rFonts w:cs="Times New Roman"/>
          <w:iCs/>
        </w:rPr>
        <w:t>Orientální ústav AV ČR, v.v.i.</w:t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</w:r>
      <w:r w:rsidRPr="0088744D">
        <w:rPr>
          <w:rFonts w:cs="Times New Roman"/>
          <w:iCs/>
        </w:rPr>
        <w:tab/>
        <w:t xml:space="preserve">  3 projekty</w:t>
      </w:r>
    </w:p>
    <w:p w14:paraId="0C64C596" w14:textId="77777777" w:rsidR="007827BD" w:rsidRDefault="007827BD" w:rsidP="007827BD">
      <w:pPr>
        <w:spacing w:after="0" w:line="240" w:lineRule="auto"/>
        <w:rPr>
          <w:rFonts w:cs="Times New Roman"/>
          <w:iCs/>
        </w:rPr>
      </w:pPr>
      <w:r>
        <w:rPr>
          <w:rFonts w:cs="Times New Roman"/>
          <w:iCs/>
        </w:rPr>
        <w:t>Masarykova univerzita v Brně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 xml:space="preserve">  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>16 projektů</w:t>
      </w:r>
    </w:p>
    <w:p w14:paraId="10FCB5E8" w14:textId="77777777" w:rsidR="007827BD" w:rsidRDefault="007827BD" w:rsidP="007827BD">
      <w:pPr>
        <w:spacing w:after="0" w:line="240" w:lineRule="auto"/>
        <w:rPr>
          <w:rFonts w:cs="Times New Roman"/>
          <w:iCs/>
        </w:rPr>
      </w:pPr>
      <w:r>
        <w:rPr>
          <w:rFonts w:cs="Times New Roman"/>
          <w:iCs/>
        </w:rPr>
        <w:t>Národní muzeum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 xml:space="preserve">  3 projekty</w:t>
      </w:r>
    </w:p>
    <w:p w14:paraId="49DB316A" w14:textId="77777777" w:rsidR="007827BD" w:rsidRDefault="007827BD" w:rsidP="007827BD">
      <w:pPr>
        <w:spacing w:after="0" w:line="240" w:lineRule="auto"/>
        <w:rPr>
          <w:rFonts w:cs="Times New Roman"/>
          <w:iCs/>
        </w:rPr>
      </w:pPr>
      <w:r>
        <w:rPr>
          <w:rFonts w:cs="Times New Roman"/>
          <w:iCs/>
        </w:rPr>
        <w:t>Výzkumný ústav rostlinné výroby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 xml:space="preserve">  5 projektů</w:t>
      </w:r>
    </w:p>
    <w:p w14:paraId="790388D2" w14:textId="77777777" w:rsidR="007827BD" w:rsidRPr="008C1F05" w:rsidRDefault="007827BD" w:rsidP="007827BD">
      <w:pPr>
        <w:spacing w:after="0" w:line="240" w:lineRule="auto"/>
        <w:rPr>
          <w:rFonts w:cs="Times New Roman"/>
          <w:iCs/>
        </w:rPr>
      </w:pPr>
      <w:r w:rsidRPr="008C1F05">
        <w:rPr>
          <w:rFonts w:cs="Times New Roman"/>
          <w:iCs/>
        </w:rPr>
        <w:t>Biotechnologický ústav AV ČR, v.v.i.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>15 projektů</w:t>
      </w:r>
    </w:p>
    <w:p w14:paraId="17A4CDE9" w14:textId="77777777" w:rsidR="007827BD" w:rsidRPr="008C1F05" w:rsidRDefault="007827BD" w:rsidP="007827BD">
      <w:pPr>
        <w:spacing w:after="0" w:line="240" w:lineRule="auto"/>
        <w:rPr>
          <w:rFonts w:cs="Times New Roman"/>
          <w:iCs/>
        </w:rPr>
      </w:pPr>
      <w:r w:rsidRPr="008C1F05">
        <w:rPr>
          <w:rFonts w:cs="Times New Roman"/>
          <w:iCs/>
        </w:rPr>
        <w:t xml:space="preserve">Univerzita Karlova v Praze, Filozofická fakulta 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>51 projektů</w:t>
      </w:r>
    </w:p>
    <w:p w14:paraId="287C3398" w14:textId="77777777" w:rsidR="003274E0" w:rsidRPr="0088744D" w:rsidRDefault="003274E0" w:rsidP="008904DD">
      <w:pPr>
        <w:spacing w:after="0" w:line="240" w:lineRule="auto"/>
        <w:rPr>
          <w:rFonts w:cs="Times New Roman"/>
          <w:iCs/>
        </w:rPr>
      </w:pPr>
    </w:p>
    <w:p w14:paraId="3FD420CA" w14:textId="77777777" w:rsidR="00E35A86" w:rsidRPr="005B5439" w:rsidRDefault="00E35A86" w:rsidP="00E35A86">
      <w:pPr>
        <w:spacing w:after="120"/>
        <w:contextualSpacing/>
        <w:rPr>
          <w:iCs/>
          <w:color w:val="FF0000"/>
        </w:rPr>
      </w:pPr>
    </w:p>
    <w:p w14:paraId="47FAC5AA" w14:textId="77777777" w:rsidR="00E35A86" w:rsidRPr="0088744D" w:rsidRDefault="00E35A86" w:rsidP="0088744D">
      <w:pPr>
        <w:pStyle w:val="Nadpis1"/>
      </w:pPr>
      <w:r w:rsidRPr="0088744D">
        <w:t xml:space="preserve">Vyřizování stížností podaných do KR </w:t>
      </w:r>
    </w:p>
    <w:p w14:paraId="7A7DF441" w14:textId="27FC6911" w:rsidR="00E35A86" w:rsidRPr="0088744D" w:rsidRDefault="00E35A86" w:rsidP="00E35A86">
      <w:pPr>
        <w:spacing w:after="120"/>
        <w:ind w:firstLine="708"/>
        <w:rPr>
          <w:rFonts w:eastAsia="Arial"/>
        </w:rPr>
      </w:pPr>
      <w:r w:rsidRPr="0088744D">
        <w:rPr>
          <w:rFonts w:eastAsia="Arial"/>
        </w:rPr>
        <w:t>V</w:t>
      </w:r>
      <w:r w:rsidRPr="0088744D">
        <w:t xml:space="preserve">ýznamným úkolem v činnosti KR je také </w:t>
      </w:r>
      <w:r w:rsidRPr="0088744D">
        <w:rPr>
          <w:b/>
        </w:rPr>
        <w:t>projednávání a vyřizování podnětů</w:t>
      </w:r>
      <w:r w:rsidRPr="0088744D">
        <w:t xml:space="preserve"> navrhovatelů projektů, námitek a stížností na porušení podmínek veřejné soutěže při hodnocení návrhů projektů, hodnocení řešení projektů a dosažených výsledků. V tomto procesu se KR GA ČR soustřeďuje především na to, zda byla ve všech rovinách posuzovacího</w:t>
      </w:r>
      <w:r w:rsidR="0088744D">
        <w:t xml:space="preserve"> procesu dodržována ustanovení </w:t>
      </w:r>
      <w:r w:rsidR="001F7A48">
        <w:t>z</w:t>
      </w:r>
      <w:r w:rsidR="001F7A48" w:rsidRPr="0088744D">
        <w:t xml:space="preserve">adávací </w:t>
      </w:r>
      <w:r w:rsidRPr="0088744D">
        <w:t xml:space="preserve">dokumentace veřejné soutěže, zda panely a oborové komise postupovaly transparentně a zda byl celý proces hodnocení </w:t>
      </w:r>
      <w:r w:rsidRPr="0088744D">
        <w:rPr>
          <w:b/>
        </w:rPr>
        <w:t>v souladu s podmínkami veřejné soutěže</w:t>
      </w:r>
      <w:r w:rsidRPr="0088744D">
        <w:t xml:space="preserve">. KR GA ČR si je zároveň vědoma, že nemůže a ani nechce nahrazovat odbornou činnost panelů </w:t>
      </w:r>
      <w:r w:rsidR="00D93434">
        <w:br/>
      </w:r>
      <w:r w:rsidRPr="0088744D">
        <w:t>a oborových komisí, kde zasedají významní odborníci příslušného oboru, ani činnost zahraničních expertů.</w:t>
      </w:r>
    </w:p>
    <w:p w14:paraId="4D105839" w14:textId="1DC6F92B" w:rsidR="00E35A86" w:rsidRDefault="00E35A86" w:rsidP="00E35A86">
      <w:pPr>
        <w:spacing w:after="120"/>
        <w:rPr>
          <w:b/>
        </w:rPr>
      </w:pPr>
      <w:r w:rsidRPr="0088744D">
        <w:rPr>
          <w:rFonts w:eastAsia="Arial"/>
        </w:rPr>
        <w:tab/>
        <w:t xml:space="preserve">V </w:t>
      </w:r>
      <w:r w:rsidR="0088744D">
        <w:t xml:space="preserve">časovém rozmezí od října 2017 do </w:t>
      </w:r>
      <w:r w:rsidR="003274E0">
        <w:t>září</w:t>
      </w:r>
      <w:r w:rsidR="0088744D">
        <w:t xml:space="preserve"> 2018 bylo doručeno celkem </w:t>
      </w:r>
      <w:r w:rsidR="003274E0">
        <w:t>2</w:t>
      </w:r>
      <w:r w:rsidR="0088744D">
        <w:t>7</w:t>
      </w:r>
      <w:r w:rsidRPr="0088744D">
        <w:t xml:space="preserve"> stížností na neudělení podpory navrhovaným projektům (odvolání proti neudělení grantové podpory), resp. stížností na nesouhlas s výsledkem oponentního řízení projektu a následným rozhodnutím předsednictva. </w:t>
      </w:r>
      <w:r w:rsidR="0088744D">
        <w:t xml:space="preserve">U stížností je v přehledu vždy </w:t>
      </w:r>
      <w:r w:rsidR="0088744D">
        <w:lastRenderedPageBreak/>
        <w:t xml:space="preserve">uveden jejich důvod. </w:t>
      </w:r>
      <w:r w:rsidRPr="0088744D">
        <w:rPr>
          <w:b/>
        </w:rPr>
        <w:t xml:space="preserve">Všechny </w:t>
      </w:r>
      <w:r w:rsidR="00D93434">
        <w:rPr>
          <w:b/>
        </w:rPr>
        <w:t>stížnosti</w:t>
      </w:r>
      <w:r w:rsidR="00D93434" w:rsidRPr="0088744D">
        <w:rPr>
          <w:b/>
        </w:rPr>
        <w:t xml:space="preserve"> </w:t>
      </w:r>
      <w:r w:rsidRPr="0088744D">
        <w:rPr>
          <w:b/>
        </w:rPr>
        <w:t xml:space="preserve">doručené v hodnoceném období byly </w:t>
      </w:r>
      <w:r w:rsidR="008D6BB3">
        <w:rPr>
          <w:b/>
        </w:rPr>
        <w:br/>
      </w:r>
      <w:r w:rsidRPr="0088744D">
        <w:rPr>
          <w:b/>
        </w:rPr>
        <w:t>ze strany KR vyřízeny.</w:t>
      </w:r>
    </w:p>
    <w:p w14:paraId="574BBC9E" w14:textId="21AE391D" w:rsidR="00F03AE1" w:rsidRPr="0088744D" w:rsidRDefault="00E35A86" w:rsidP="00E35A86">
      <w:pPr>
        <w:spacing w:after="120"/>
      </w:pPr>
      <w:r w:rsidRPr="0088744D">
        <w:tab/>
      </w:r>
      <w:r w:rsidRPr="0088744D">
        <w:rPr>
          <w:rFonts w:eastAsia="Arial"/>
        </w:rPr>
        <w:t>D</w:t>
      </w:r>
      <w:r w:rsidRPr="0088744D">
        <w:t xml:space="preserve">ále uvádíme </w:t>
      </w:r>
      <w:r w:rsidRPr="0088744D">
        <w:rPr>
          <w:b/>
        </w:rPr>
        <w:t>přehled stížností</w:t>
      </w:r>
      <w:r w:rsidRPr="0088744D">
        <w:t>, kterými se zabývala KR ve sledovaném období. Uvedeno je registrační číslo přihlášky projektu, obecný důvod stížnosti, uchazeč/příjemce a výsledek šetření KR.</w:t>
      </w:r>
    </w:p>
    <w:p w14:paraId="5EC46437" w14:textId="77777777" w:rsidR="006965F8" w:rsidRDefault="006965F8" w:rsidP="008904DD">
      <w:pPr>
        <w:rPr>
          <w:b/>
        </w:rPr>
      </w:pPr>
    </w:p>
    <w:p w14:paraId="1D8194CB" w14:textId="30A90227" w:rsidR="008904DD" w:rsidRPr="003274E0" w:rsidRDefault="008904DD" w:rsidP="008904DD">
      <w:pPr>
        <w:rPr>
          <w:b/>
        </w:rPr>
      </w:pPr>
      <w:r w:rsidRPr="003274E0">
        <w:rPr>
          <w:b/>
        </w:rPr>
        <w:t xml:space="preserve">Stížnosti: </w:t>
      </w:r>
    </w:p>
    <w:p w14:paraId="0F35FC8D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 xml:space="preserve">14-18131S </w:t>
      </w:r>
    </w:p>
    <w:p w14:paraId="252667AB" w14:textId="77777777" w:rsidR="008904DD" w:rsidRPr="003274E0" w:rsidRDefault="008904DD" w:rsidP="008904DD">
      <w:pPr>
        <w:spacing w:after="0" w:line="240" w:lineRule="auto"/>
      </w:pPr>
      <w:r w:rsidRPr="003274E0">
        <w:rPr>
          <w:iCs/>
        </w:rPr>
        <w:t>Žádost o přezkoumání rozhodnutí o neuznání výstupu, Vysoká škola chemicko-technologická v Praze, Fakulta chemické technologie, nebyla porušena pravidla GA ČR.</w:t>
      </w:r>
    </w:p>
    <w:p w14:paraId="4D63D8AC" w14:textId="77777777" w:rsidR="008904DD" w:rsidRPr="003274E0" w:rsidRDefault="008904DD" w:rsidP="008904DD">
      <w:pPr>
        <w:spacing w:after="0" w:line="240" w:lineRule="auto"/>
        <w:rPr>
          <w:b/>
          <w:bCs/>
          <w:u w:val="single"/>
        </w:rPr>
      </w:pPr>
    </w:p>
    <w:p w14:paraId="0A7C1841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 xml:space="preserve">17-21840S </w:t>
      </w:r>
    </w:p>
    <w:p w14:paraId="55BB19F4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Stížnost na hodnocení návrhů projektů, Fyzikální ústav AV ČR, v.v.i., nebyla porušena pravidla GA ČR.</w:t>
      </w:r>
    </w:p>
    <w:p w14:paraId="05DF8328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6AB73D04" w14:textId="77777777" w:rsidR="008904DD" w:rsidRPr="003274E0" w:rsidRDefault="008904DD" w:rsidP="008904DD">
      <w:pPr>
        <w:spacing w:after="0" w:line="240" w:lineRule="auto"/>
        <w:rPr>
          <w:iCs/>
          <w:u w:val="single"/>
        </w:rPr>
      </w:pPr>
      <w:r w:rsidRPr="003274E0">
        <w:rPr>
          <w:iCs/>
        </w:rPr>
        <w:t>16-19999J</w:t>
      </w:r>
    </w:p>
    <w:p w14:paraId="12ACB818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Vyjádření ke slovnímu hodnocení projektu, Západočeská univerzita v Plzni, Fakulta aplikovaných věd, nebyla porušena pravidla GA ČR.</w:t>
      </w:r>
    </w:p>
    <w:p w14:paraId="071F2AF1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51BF1832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P410/12/2390</w:t>
      </w:r>
    </w:p>
    <w:p w14:paraId="2B101C4B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Odvolání proti nekorektnímu komentáři k projektu, Univerzita Karlova v Praze, Fakulta humanitních studií, nebyla porušena pravidla GA ČR.</w:t>
      </w:r>
    </w:p>
    <w:p w14:paraId="241A32D4" w14:textId="77777777" w:rsidR="008904DD" w:rsidRPr="003274E0" w:rsidRDefault="008904DD" w:rsidP="008904DD">
      <w:pPr>
        <w:spacing w:after="0" w:line="240" w:lineRule="auto"/>
      </w:pPr>
    </w:p>
    <w:p w14:paraId="6655EB06" w14:textId="77777777" w:rsidR="006965F8" w:rsidRDefault="006965F8" w:rsidP="008904DD">
      <w:pPr>
        <w:spacing w:after="0" w:line="240" w:lineRule="auto"/>
        <w:rPr>
          <w:iCs/>
        </w:rPr>
      </w:pPr>
    </w:p>
    <w:p w14:paraId="16A9E0DF" w14:textId="77777777" w:rsidR="006965F8" w:rsidRDefault="006965F8" w:rsidP="008904DD">
      <w:pPr>
        <w:spacing w:after="0" w:line="240" w:lineRule="auto"/>
        <w:rPr>
          <w:iCs/>
        </w:rPr>
      </w:pPr>
    </w:p>
    <w:p w14:paraId="1C1CB0BB" w14:textId="66459675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18-18392S</w:t>
      </w:r>
    </w:p>
    <w:p w14:paraId="13B4B4E0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Žádost o přezkoumání hodnocení projektu, Botanický ústav AV ČR, v.v.i., nebyla porušena pravidla GA ČR.</w:t>
      </w:r>
    </w:p>
    <w:p w14:paraId="168BBF08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0A2C5E97" w14:textId="77777777" w:rsidR="008904DD" w:rsidRPr="003274E0" w:rsidRDefault="008904DD" w:rsidP="008904DD">
      <w:pPr>
        <w:spacing w:after="0" w:line="240" w:lineRule="auto"/>
        <w:rPr>
          <w:iCs/>
          <w:color w:val="993300"/>
        </w:rPr>
      </w:pPr>
      <w:r w:rsidRPr="003274E0">
        <w:rPr>
          <w:iCs/>
        </w:rPr>
        <w:t>P502</w:t>
      </w:r>
    </w:p>
    <w:p w14:paraId="633581AC" w14:textId="77777777" w:rsidR="008904DD" w:rsidRPr="003274E0" w:rsidRDefault="008904DD" w:rsidP="008904DD">
      <w:pPr>
        <w:spacing w:after="0" w:line="240" w:lineRule="auto"/>
        <w:rPr>
          <w:iCs/>
          <w:color w:val="993300"/>
        </w:rPr>
      </w:pPr>
      <w:r w:rsidRPr="003274E0">
        <w:rPr>
          <w:iCs/>
        </w:rPr>
        <w:t>Žádost o přezkoumání hodnocení projektů v P502, Mikrobiologický ústav AV ČR, v.v.i.,  nebyla porušena pravidla GA ČR.</w:t>
      </w:r>
    </w:p>
    <w:p w14:paraId="16BC93E1" w14:textId="77777777" w:rsidR="008904DD" w:rsidRPr="003274E0" w:rsidRDefault="008904DD" w:rsidP="008904DD">
      <w:pPr>
        <w:spacing w:after="0" w:line="240" w:lineRule="auto"/>
        <w:rPr>
          <w:iCs/>
          <w:color w:val="993300"/>
        </w:rPr>
      </w:pPr>
    </w:p>
    <w:p w14:paraId="5B81E3E5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 xml:space="preserve">18-16370S </w:t>
      </w:r>
    </w:p>
    <w:p w14:paraId="2110BB22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Odvolání proti hodnocení návrhu projektu, Astronomický ústav AV ČR, v.v.i.,  nebyla porušena pravidla GA ČR.</w:t>
      </w:r>
    </w:p>
    <w:p w14:paraId="19E7D342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6DA03E86" w14:textId="77777777" w:rsidR="008904DD" w:rsidRPr="003274E0" w:rsidRDefault="008904DD" w:rsidP="008904DD">
      <w:pPr>
        <w:spacing w:after="0" w:line="240" w:lineRule="auto"/>
      </w:pPr>
      <w:r w:rsidRPr="003274E0">
        <w:rPr>
          <w:iCs/>
        </w:rPr>
        <w:t>18-18261J</w:t>
      </w:r>
    </w:p>
    <w:p w14:paraId="378B99AF" w14:textId="35ED1D90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 xml:space="preserve">Žádost o přezkoumání rozhodnutí o neposkytnutí dotace, Masarykova univerzita </w:t>
      </w:r>
      <w:r w:rsidR="008D6BB3">
        <w:rPr>
          <w:iCs/>
        </w:rPr>
        <w:br/>
      </w:r>
      <w:r w:rsidRPr="003274E0">
        <w:rPr>
          <w:iCs/>
        </w:rPr>
        <w:t>v Brně, Filozofická fakulta, nebyla porušena pravidla GA ČR.</w:t>
      </w:r>
    </w:p>
    <w:p w14:paraId="0193A3EC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180443F1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18-07528S</w:t>
      </w:r>
    </w:p>
    <w:p w14:paraId="76AF38A9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Odvolání proti hodnocení návrhu projektu, Univerzita Palackého v Olomouci, Přírodovědecká fakulta, nebyla porušena pravidla GA ČR.</w:t>
      </w:r>
    </w:p>
    <w:p w14:paraId="3B1D9502" w14:textId="77777777" w:rsidR="008904DD" w:rsidRPr="003274E0" w:rsidRDefault="008904DD" w:rsidP="008904DD">
      <w:pPr>
        <w:spacing w:after="0" w:line="240" w:lineRule="auto"/>
      </w:pPr>
    </w:p>
    <w:p w14:paraId="78EA3548" w14:textId="77777777" w:rsidR="008904DD" w:rsidRPr="003274E0" w:rsidRDefault="008904DD" w:rsidP="008904DD">
      <w:pPr>
        <w:spacing w:after="0" w:line="240" w:lineRule="auto"/>
      </w:pPr>
      <w:r w:rsidRPr="003274E0">
        <w:rPr>
          <w:iCs/>
        </w:rPr>
        <w:t>18-03322S</w:t>
      </w:r>
    </w:p>
    <w:p w14:paraId="4C0AF6E7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lastRenderedPageBreak/>
        <w:t>Odvolání proti rozhodnutí o nepřidělení podpory, Univerzita Karlova v Praze, Filozofická fakulta, nebyla porušena pravidla GA ČR.</w:t>
      </w:r>
    </w:p>
    <w:p w14:paraId="5BAEDD8C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5E7637B2" w14:textId="14167F6C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 xml:space="preserve">13-04420S  </w:t>
      </w:r>
    </w:p>
    <w:p w14:paraId="7843A0D2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Žádost o přehodnocení, Fyziologický ústav AV ČR, v.v.i., nebyla porušena pravidla GA ČR.</w:t>
      </w:r>
    </w:p>
    <w:p w14:paraId="557D8D7A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4CA95E75" w14:textId="77777777" w:rsidR="008904DD" w:rsidRPr="003274E0" w:rsidRDefault="008904DD" w:rsidP="008904DD">
      <w:pPr>
        <w:spacing w:after="0" w:line="240" w:lineRule="auto"/>
      </w:pPr>
      <w:r w:rsidRPr="003274E0">
        <w:rPr>
          <w:iCs/>
        </w:rPr>
        <w:t>18-11441S</w:t>
      </w:r>
    </w:p>
    <w:p w14:paraId="18997FE1" w14:textId="77777777" w:rsidR="008904DD" w:rsidRPr="003274E0" w:rsidRDefault="008904DD" w:rsidP="008904DD">
      <w:pPr>
        <w:spacing w:after="0" w:line="240" w:lineRule="auto"/>
      </w:pPr>
      <w:r w:rsidRPr="003274E0">
        <w:rPr>
          <w:iCs/>
        </w:rPr>
        <w:t>Reakce na posudky grantového projektu, Mikrobiologický ústav AV ČR, v.v.i., nebyla porušena pravidla GA ČR.</w:t>
      </w:r>
    </w:p>
    <w:p w14:paraId="53CB9841" w14:textId="77777777" w:rsidR="008904DD" w:rsidRPr="003274E0" w:rsidRDefault="008904DD" w:rsidP="008904DD">
      <w:pPr>
        <w:spacing w:after="0" w:line="240" w:lineRule="auto"/>
      </w:pPr>
    </w:p>
    <w:p w14:paraId="449CD453" w14:textId="77777777" w:rsidR="008904DD" w:rsidRPr="003274E0" w:rsidRDefault="008904DD" w:rsidP="008904DD">
      <w:pPr>
        <w:spacing w:after="0" w:line="240" w:lineRule="auto"/>
        <w:rPr>
          <w:b/>
          <w:iCs/>
          <w:color w:val="993300"/>
          <w:u w:val="single"/>
        </w:rPr>
      </w:pPr>
      <w:r w:rsidRPr="003274E0">
        <w:rPr>
          <w:iCs/>
        </w:rPr>
        <w:t>18-19382S</w:t>
      </w:r>
      <w:r w:rsidRPr="003274E0">
        <w:rPr>
          <w:b/>
          <w:iCs/>
          <w:color w:val="993300"/>
          <w:u w:val="single"/>
        </w:rPr>
        <w:t xml:space="preserve"> </w:t>
      </w:r>
    </w:p>
    <w:p w14:paraId="4F8A3E68" w14:textId="77777777" w:rsidR="008904DD" w:rsidRPr="003274E0" w:rsidRDefault="008904DD" w:rsidP="008904DD">
      <w:pPr>
        <w:spacing w:after="0" w:line="240" w:lineRule="auto"/>
      </w:pPr>
      <w:r w:rsidRPr="003274E0">
        <w:rPr>
          <w:iCs/>
        </w:rPr>
        <w:t>Odvolání proti rozhodnutí, České vysoké učení technické v Praze, Fakulta elektrotechnická, nebyla porušena pravidla GA ČR.</w:t>
      </w:r>
    </w:p>
    <w:p w14:paraId="0588F5D9" w14:textId="77777777" w:rsidR="008904DD" w:rsidRPr="003274E0" w:rsidRDefault="008904DD" w:rsidP="008904DD">
      <w:pPr>
        <w:spacing w:after="0" w:line="240" w:lineRule="auto"/>
      </w:pPr>
    </w:p>
    <w:p w14:paraId="724C460B" w14:textId="77777777" w:rsidR="008904DD" w:rsidRPr="003274E0" w:rsidRDefault="008904DD" w:rsidP="008904DD">
      <w:pPr>
        <w:spacing w:after="0" w:line="240" w:lineRule="auto"/>
      </w:pPr>
      <w:r w:rsidRPr="003274E0">
        <w:rPr>
          <w:iCs/>
        </w:rPr>
        <w:t>18-09685J</w:t>
      </w:r>
    </w:p>
    <w:p w14:paraId="73280762" w14:textId="77777777" w:rsidR="008904DD" w:rsidRPr="003274E0" w:rsidRDefault="0088744D" w:rsidP="008904DD">
      <w:pPr>
        <w:spacing w:after="0" w:line="240" w:lineRule="auto"/>
        <w:rPr>
          <w:iCs/>
        </w:rPr>
      </w:pPr>
      <w:r w:rsidRPr="003274E0">
        <w:rPr>
          <w:iCs/>
        </w:rPr>
        <w:t>N</w:t>
      </w:r>
      <w:r w:rsidR="008904DD" w:rsidRPr="003274E0">
        <w:rPr>
          <w:iCs/>
        </w:rPr>
        <w:t>ámitky proti zamítnutí, Etnologický ústav AV ČR, v.v.i., nebyla porušena pravidla GA ČR.</w:t>
      </w:r>
    </w:p>
    <w:p w14:paraId="61B03050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3F3A54B0" w14:textId="77777777" w:rsidR="008904DD" w:rsidRPr="003274E0" w:rsidRDefault="008904DD" w:rsidP="008904DD">
      <w:pPr>
        <w:spacing w:after="0" w:line="240" w:lineRule="auto"/>
      </w:pPr>
      <w:r w:rsidRPr="003274E0">
        <w:rPr>
          <w:iCs/>
        </w:rPr>
        <w:t>18-09212S</w:t>
      </w:r>
    </w:p>
    <w:p w14:paraId="3BCFC5CB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Podnět k prověření postupu poskytovatele</w:t>
      </w:r>
      <w:r w:rsidRPr="003274E0">
        <w:t xml:space="preserve">, Univerzita Karlova v Praze, Fakulta sociálních věd, </w:t>
      </w:r>
      <w:r w:rsidRPr="003274E0">
        <w:rPr>
          <w:iCs/>
        </w:rPr>
        <w:t>nebyla porušena pravidla GA ČR.</w:t>
      </w:r>
    </w:p>
    <w:p w14:paraId="2CE3DF21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3CF3BB6C" w14:textId="77777777" w:rsidR="008904DD" w:rsidRPr="003274E0" w:rsidRDefault="008904DD" w:rsidP="008904DD">
      <w:pPr>
        <w:spacing w:after="0" w:line="240" w:lineRule="auto"/>
      </w:pPr>
      <w:r w:rsidRPr="003274E0">
        <w:rPr>
          <w:iCs/>
        </w:rPr>
        <w:t>18-08622S</w:t>
      </w:r>
    </w:p>
    <w:p w14:paraId="6D69EE2E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Stížnost na postup poskytovatele</w:t>
      </w:r>
      <w:r w:rsidRPr="003274E0">
        <w:t>, Univerzita Karlova v Praze, Fakulta sociálních věd,</w:t>
      </w:r>
      <w:r w:rsidRPr="003274E0">
        <w:rPr>
          <w:iCs/>
        </w:rPr>
        <w:t xml:space="preserve"> nebyla porušena pravidla GA ČR.</w:t>
      </w:r>
    </w:p>
    <w:p w14:paraId="13E353A6" w14:textId="77777777" w:rsidR="008904DD" w:rsidRPr="003274E0" w:rsidRDefault="008904DD" w:rsidP="008904DD">
      <w:pPr>
        <w:spacing w:after="0" w:line="240" w:lineRule="auto"/>
        <w:rPr>
          <w:iCs/>
        </w:rPr>
      </w:pPr>
    </w:p>
    <w:p w14:paraId="238C55E4" w14:textId="77777777" w:rsidR="006965F8" w:rsidRDefault="006965F8" w:rsidP="008904DD">
      <w:pPr>
        <w:spacing w:after="0" w:line="240" w:lineRule="auto"/>
        <w:rPr>
          <w:iCs/>
        </w:rPr>
      </w:pPr>
    </w:p>
    <w:p w14:paraId="73EADC8A" w14:textId="77777777" w:rsidR="006965F8" w:rsidRDefault="006965F8" w:rsidP="008904DD">
      <w:pPr>
        <w:spacing w:after="0" w:line="240" w:lineRule="auto"/>
        <w:rPr>
          <w:iCs/>
        </w:rPr>
      </w:pPr>
    </w:p>
    <w:p w14:paraId="130CC161" w14:textId="3A51EC81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>18-10673Y</w:t>
      </w:r>
    </w:p>
    <w:p w14:paraId="6B6350F2" w14:textId="77777777" w:rsidR="008904DD" w:rsidRPr="003274E0" w:rsidRDefault="008904DD" w:rsidP="008904DD">
      <w:pPr>
        <w:spacing w:after="0" w:line="240" w:lineRule="auto"/>
        <w:rPr>
          <w:iCs/>
        </w:rPr>
      </w:pPr>
      <w:r w:rsidRPr="003274E0">
        <w:rPr>
          <w:iCs/>
        </w:rPr>
        <w:t xml:space="preserve">Otázky ke kvalitě posudkového řízení, </w:t>
      </w:r>
      <w:r w:rsidRPr="003274E0">
        <w:t xml:space="preserve">Ústav jaderné fyziky AV ČR, v. v. i., </w:t>
      </w:r>
      <w:r w:rsidRPr="003274E0">
        <w:rPr>
          <w:iCs/>
        </w:rPr>
        <w:t>nebyla porušena pravidla GA ČR.</w:t>
      </w:r>
    </w:p>
    <w:p w14:paraId="5C254248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1C6CB36D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18-08583Y</w:t>
      </w:r>
    </w:p>
    <w:p w14:paraId="112C2C53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 xml:space="preserve">Stížnost na postup poskytovatele při hodnocení, </w:t>
      </w:r>
      <w:r w:rsidRPr="00F03AE1">
        <w:t xml:space="preserve">Sociologický ústav AV ČR, v. v. i., </w:t>
      </w:r>
      <w:r w:rsidRPr="00F03AE1">
        <w:rPr>
          <w:iCs/>
        </w:rPr>
        <w:t>nebyla porušena pravidla GA ČR.</w:t>
      </w:r>
    </w:p>
    <w:p w14:paraId="66AD29D1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1C2A2393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18-07494S</w:t>
      </w:r>
    </w:p>
    <w:p w14:paraId="17A3806B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 xml:space="preserve">Stížnost na hodnocení projektu, </w:t>
      </w:r>
      <w:r w:rsidRPr="00F03AE1">
        <w:t xml:space="preserve">Univerzita Karlova v Praze, Filozofická fakulta, </w:t>
      </w:r>
      <w:r w:rsidRPr="00F03AE1">
        <w:rPr>
          <w:iCs/>
        </w:rPr>
        <w:t>nebyla porušena pravidla GA ČR.</w:t>
      </w:r>
    </w:p>
    <w:p w14:paraId="76823D51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7D775252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18-03796S</w:t>
      </w:r>
    </w:p>
    <w:p w14:paraId="659E0468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 xml:space="preserve">Podnět k prošetření oponentního posudku, </w:t>
      </w:r>
      <w:r w:rsidRPr="00F03AE1">
        <w:t xml:space="preserve">Univerzita Jana Evangelisty Purkyně v Ústí nad Labem, Útvar prorektora pro vědu, </w:t>
      </w:r>
      <w:r w:rsidRPr="00F03AE1">
        <w:rPr>
          <w:iCs/>
        </w:rPr>
        <w:t>nebyla porušena pravidla GA ČR.</w:t>
      </w:r>
    </w:p>
    <w:p w14:paraId="7A1BE3EB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1B039BEB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18-12726S</w:t>
      </w:r>
    </w:p>
    <w:p w14:paraId="74814F6C" w14:textId="77777777" w:rsidR="003274E0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 xml:space="preserve">Protest proti způsobu hodnocení návrhu projektu, </w:t>
      </w:r>
      <w:r w:rsidRPr="00F03AE1">
        <w:t xml:space="preserve">Masarykova univerzita v Brně, Pedagogická fakulta, </w:t>
      </w:r>
      <w:r w:rsidRPr="00F03AE1">
        <w:rPr>
          <w:iCs/>
        </w:rPr>
        <w:t>nebyla porušena pravidla GA ČR.</w:t>
      </w:r>
    </w:p>
    <w:p w14:paraId="1FD0E643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219FDEFB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16-06962S</w:t>
      </w:r>
    </w:p>
    <w:p w14:paraId="0D39F5EA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lastRenderedPageBreak/>
        <w:t xml:space="preserve">Žádost o přezkoumání rozhodnutí o ukončení řešení, </w:t>
      </w:r>
      <w:r w:rsidRPr="00F03AE1">
        <w:t xml:space="preserve">Univerzita Karlova v Praze, Přírodovědecká fakulta, </w:t>
      </w:r>
      <w:r w:rsidRPr="00F03AE1">
        <w:rPr>
          <w:iCs/>
        </w:rPr>
        <w:t>nebyla porušena pravidla GA ČR.</w:t>
      </w:r>
    </w:p>
    <w:p w14:paraId="039BC45D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09C8D9AA" w14:textId="3F92DBF6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16-26104S</w:t>
      </w:r>
    </w:p>
    <w:p w14:paraId="7952F2DF" w14:textId="11E8D018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 xml:space="preserve">Odvolání proti rozhodnutí o nepřidělení podpory po druhém roce řešení, </w:t>
      </w:r>
      <w:r w:rsidRPr="00F03AE1">
        <w:t xml:space="preserve">Ústav </w:t>
      </w:r>
      <w:r w:rsidR="008D6BB3">
        <w:br/>
      </w:r>
      <w:r w:rsidRPr="00F03AE1">
        <w:t xml:space="preserve">pro studium totalitních režimů, </w:t>
      </w:r>
      <w:r w:rsidRPr="00F03AE1">
        <w:rPr>
          <w:iCs/>
        </w:rPr>
        <w:t>nebyla porušena pravidla GA ČR.</w:t>
      </w:r>
    </w:p>
    <w:p w14:paraId="7E3C43FA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6908CE78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17-06666S</w:t>
      </w:r>
    </w:p>
    <w:p w14:paraId="11E5CD27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 xml:space="preserve">Stížnost na postup poskytovatele při hodnocení dílčí zprávy, </w:t>
      </w:r>
      <w:r w:rsidRPr="00F03AE1">
        <w:t xml:space="preserve">Ústav pro českou literaturu AV ČR, v.v.i., </w:t>
      </w:r>
      <w:r w:rsidRPr="00F03AE1">
        <w:rPr>
          <w:iCs/>
        </w:rPr>
        <w:t>nebyla porušena pravidla GA ČR.</w:t>
      </w:r>
    </w:p>
    <w:p w14:paraId="37FC18CD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5D503CD3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14-36938G</w:t>
      </w:r>
    </w:p>
    <w:p w14:paraId="6A3A4803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 xml:space="preserve">Odvolání proti rozhodnutí ukončit projekt, </w:t>
      </w:r>
      <w:r w:rsidRPr="00F03AE1">
        <w:t xml:space="preserve">Archeologický ústav AV ČR, Praha, v.v.i., </w:t>
      </w:r>
      <w:r w:rsidRPr="00F03AE1">
        <w:rPr>
          <w:iCs/>
        </w:rPr>
        <w:t>nebyla porušena pravidla GA ČR.</w:t>
      </w:r>
    </w:p>
    <w:p w14:paraId="58E9815E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1114CAAB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19-24418S</w:t>
      </w:r>
    </w:p>
    <w:p w14:paraId="65AFBB97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Žádost o zpětné zařazení vyřazeného návrhu projektu, Biologické centrum AV ČR, v.v.i., nebyla porušena pravidla GA ČR.</w:t>
      </w:r>
    </w:p>
    <w:p w14:paraId="21BC75E9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56042E41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19-23578Y</w:t>
      </w:r>
    </w:p>
    <w:p w14:paraId="796F5FCE" w14:textId="77777777" w:rsidR="003274E0" w:rsidRPr="00F03AE1" w:rsidRDefault="003274E0" w:rsidP="003274E0">
      <w:pPr>
        <w:spacing w:after="0" w:line="240" w:lineRule="auto"/>
        <w:rPr>
          <w:iCs/>
        </w:rPr>
      </w:pPr>
      <w:r w:rsidRPr="00F03AE1">
        <w:rPr>
          <w:iCs/>
        </w:rPr>
        <w:t>Vyřazení návrhu projektu, Ústav chemických procesů AV ČR, v.v.i., nebyla porušena pravidla GA ČR.</w:t>
      </w:r>
    </w:p>
    <w:p w14:paraId="40BB6D21" w14:textId="77777777" w:rsidR="003274E0" w:rsidRPr="00F03AE1" w:rsidRDefault="003274E0" w:rsidP="003274E0">
      <w:pPr>
        <w:spacing w:after="0" w:line="240" w:lineRule="auto"/>
        <w:rPr>
          <w:iCs/>
        </w:rPr>
      </w:pPr>
    </w:p>
    <w:p w14:paraId="1B10BDD9" w14:textId="77777777" w:rsidR="00E35A86" w:rsidRPr="00544631" w:rsidRDefault="00E35A86" w:rsidP="00E35A86">
      <w:pPr>
        <w:pStyle w:val="Nadpis1"/>
      </w:pPr>
      <w:r w:rsidRPr="00544631">
        <w:t>Spolupráce KR s ostatními složkami GA ČR</w:t>
      </w:r>
    </w:p>
    <w:p w14:paraId="6C4FF16A" w14:textId="77777777" w:rsidR="00E35A86" w:rsidRDefault="00E35A86" w:rsidP="00E35A86">
      <w:pPr>
        <w:spacing w:after="120"/>
        <w:ind w:firstLine="709"/>
      </w:pPr>
      <w:r w:rsidRPr="00544631">
        <w:t xml:space="preserve"> Hlavním partnerem pro plnění funkcí stanovených zákonem bylo pro KR předsednictvo GA ČR. Jak již bylo konstatováno, v celém </w:t>
      </w:r>
      <w:r w:rsidRPr="00544631">
        <w:rPr>
          <w:rFonts w:eastAsia="Arial"/>
        </w:rPr>
        <w:t xml:space="preserve">uplynulém </w:t>
      </w:r>
      <w:r w:rsidRPr="00544631">
        <w:t xml:space="preserve">období byla spolupráce </w:t>
      </w:r>
      <w:r w:rsidR="0088744D" w:rsidRPr="00544631">
        <w:t>KR s </w:t>
      </w:r>
      <w:r w:rsidRPr="00544631">
        <w:t xml:space="preserve">předsedkyní GA ČR a celým předsednictvem GA ČR na velmi dobré úrovni. </w:t>
      </w:r>
    </w:p>
    <w:p w14:paraId="51ED6991" w14:textId="475BE157" w:rsidR="00F03AE1" w:rsidRDefault="00F03AE1" w:rsidP="00E35A86">
      <w:pPr>
        <w:spacing w:after="120"/>
        <w:ind w:firstLine="709"/>
      </w:pPr>
      <w:r>
        <w:t xml:space="preserve">Jak již bylo řečeno, dialog mezi oběma stranami probíhá standardně vzájemnou přítomností vedení na zasedáních obou grémií. Tato praxe, která byla zavedena </w:t>
      </w:r>
      <w:r w:rsidR="008D6BB3">
        <w:br/>
      </w:r>
      <w:r>
        <w:t xml:space="preserve">od roku 2016, přispívá ke vzájemné informovanosti a k operativnímu řešení problémů, které mnohdy nečekaně nastanou. Pro zlepšení komunikace se velmi dobře etablovalo </w:t>
      </w:r>
      <w:r w:rsidRPr="00AB42C4">
        <w:rPr>
          <w:b/>
        </w:rPr>
        <w:t xml:space="preserve">společné </w:t>
      </w:r>
      <w:r w:rsidR="00D93DF3" w:rsidRPr="00AB42C4">
        <w:rPr>
          <w:b/>
        </w:rPr>
        <w:t xml:space="preserve">výjezdní </w:t>
      </w:r>
      <w:r w:rsidRPr="00AB42C4">
        <w:rPr>
          <w:b/>
        </w:rPr>
        <w:t>zasedání KR a předsednictva GAČR</w:t>
      </w:r>
      <w:r>
        <w:t xml:space="preserve">, konané jednou za rok </w:t>
      </w:r>
      <w:r w:rsidR="008D6BB3">
        <w:br/>
      </w:r>
      <w:r>
        <w:t xml:space="preserve">(v tomto sledovaném období to bylo zasedání 17. dubna 2018). Předsedkyně GA ČR </w:t>
      </w:r>
      <w:r w:rsidR="00F77DC3">
        <w:t>informovala členy KR o aktuálních otázkách, které řeší předsednictvo a jeho členové, KR pak diskutovala celý proces výběru návrhu projektů a hodnocení jejich výsledků. K diskutovaným otázkám patřilo např.</w:t>
      </w:r>
    </w:p>
    <w:p w14:paraId="1BF7B579" w14:textId="77777777" w:rsidR="00F77DC3" w:rsidRDefault="00F77DC3" w:rsidP="00AB42C4">
      <w:pPr>
        <w:pStyle w:val="Odstavecseseznamem"/>
        <w:numPr>
          <w:ilvl w:val="0"/>
          <w:numId w:val="6"/>
        </w:numPr>
        <w:spacing w:after="120"/>
      </w:pPr>
      <w:r>
        <w:t xml:space="preserve">„stálice“ v problémech – </w:t>
      </w:r>
      <w:r w:rsidRPr="00AB42C4">
        <w:rPr>
          <w:b/>
        </w:rPr>
        <w:t>odložené závěrečné zprávy</w:t>
      </w:r>
      <w:r>
        <w:t>, ovšem také jejich kvalita a postupy při jejich zpracování;</w:t>
      </w:r>
    </w:p>
    <w:p w14:paraId="08F9959D" w14:textId="77777777" w:rsidR="00F77DC3" w:rsidRDefault="009F7E26" w:rsidP="00AB42C4">
      <w:pPr>
        <w:pStyle w:val="Odstavecseseznamem"/>
        <w:numPr>
          <w:ilvl w:val="0"/>
          <w:numId w:val="6"/>
        </w:numPr>
        <w:spacing w:after="120"/>
      </w:pPr>
      <w:r>
        <w:lastRenderedPageBreak/>
        <w:t>p</w:t>
      </w:r>
      <w:r w:rsidR="00F77DC3">
        <w:t xml:space="preserve">roblémy </w:t>
      </w:r>
      <w:r w:rsidR="00F77DC3" w:rsidRPr="00AB42C4">
        <w:rPr>
          <w:b/>
        </w:rPr>
        <w:t>několikanásobných dedikací</w:t>
      </w:r>
      <w:r w:rsidR="00F77DC3">
        <w:t xml:space="preserve"> – publikace jsou přisouzeny více projektům, případně vůbec nesouvisejí (nebo pouze okrajově) s uváděným projektem;</w:t>
      </w:r>
    </w:p>
    <w:p w14:paraId="69ED536B" w14:textId="77777777" w:rsidR="00F77DC3" w:rsidRDefault="009F7E26" w:rsidP="00AB42C4">
      <w:pPr>
        <w:pStyle w:val="Odstavecseseznamem"/>
        <w:numPr>
          <w:ilvl w:val="0"/>
          <w:numId w:val="6"/>
        </w:numPr>
        <w:spacing w:after="120"/>
      </w:pPr>
      <w:r w:rsidRPr="00AB42C4">
        <w:rPr>
          <w:b/>
        </w:rPr>
        <w:t>k</w:t>
      </w:r>
      <w:r w:rsidR="00F77DC3" w:rsidRPr="00AB42C4">
        <w:rPr>
          <w:b/>
        </w:rPr>
        <w:t>valita členů panelů</w:t>
      </w:r>
      <w:r w:rsidR="00F77DC3">
        <w:t>, kvalita posudků, otázky zahraničních posudků a jejich role při posuzování;</w:t>
      </w:r>
    </w:p>
    <w:p w14:paraId="50A6103A" w14:textId="12229E86" w:rsidR="00F77DC3" w:rsidRDefault="009F7E26" w:rsidP="00AB42C4">
      <w:pPr>
        <w:pStyle w:val="Odstavecseseznamem"/>
        <w:numPr>
          <w:ilvl w:val="0"/>
          <w:numId w:val="6"/>
        </w:numPr>
        <w:spacing w:after="120"/>
      </w:pPr>
      <w:r w:rsidRPr="00AB42C4">
        <w:rPr>
          <w:b/>
        </w:rPr>
        <w:t>f</w:t>
      </w:r>
      <w:r w:rsidR="00F77DC3" w:rsidRPr="00AB42C4">
        <w:rPr>
          <w:b/>
        </w:rPr>
        <w:t>inanční přiměřenost návrhů projektů</w:t>
      </w:r>
      <w:r w:rsidR="00F77DC3">
        <w:t xml:space="preserve"> –</w:t>
      </w:r>
      <w:r>
        <w:t xml:space="preserve"> ob</w:t>
      </w:r>
      <w:r w:rsidR="00F77DC3">
        <w:t xml:space="preserve">ě strany se shodly v tom, </w:t>
      </w:r>
      <w:r w:rsidR="00D93434">
        <w:br/>
      </w:r>
      <w:r w:rsidR="00F77DC3">
        <w:t xml:space="preserve">že soulad těchto kritérií s charakterem projektu se dnes již stal samozřejmou součástí standardních kritérií hodnocení projektů členy </w:t>
      </w:r>
      <w:r w:rsidR="001F7A48">
        <w:t>hodnot</w:t>
      </w:r>
      <w:r w:rsidR="001F7A48">
        <w:t>i</w:t>
      </w:r>
      <w:r w:rsidR="001F7A48">
        <w:t xml:space="preserve">cích </w:t>
      </w:r>
      <w:r w:rsidR="00F77DC3">
        <w:t>panelů;</w:t>
      </w:r>
    </w:p>
    <w:p w14:paraId="0DC9718B" w14:textId="646E87C3" w:rsidR="00F77DC3" w:rsidRDefault="009F7E26" w:rsidP="00AB42C4">
      <w:pPr>
        <w:pStyle w:val="Odstavecseseznamem"/>
        <w:numPr>
          <w:ilvl w:val="0"/>
          <w:numId w:val="6"/>
        </w:numPr>
        <w:spacing w:after="120"/>
      </w:pPr>
      <w:r w:rsidRPr="009F7E26">
        <w:t>s</w:t>
      </w:r>
      <w:r w:rsidR="00F77DC3" w:rsidRPr="009F7E26">
        <w:t xml:space="preserve">tanovisko KR ke snaze OK 3 </w:t>
      </w:r>
      <w:r w:rsidR="00F77DC3" w:rsidRPr="00AB42C4">
        <w:rPr>
          <w:b/>
        </w:rPr>
        <w:t>navýšit počet panelů</w:t>
      </w:r>
      <w:r w:rsidR="00F77DC3" w:rsidRPr="009F7E26">
        <w:t xml:space="preserve"> v úseku </w:t>
      </w:r>
      <w:r w:rsidR="00553BC1" w:rsidRPr="009F7E26">
        <w:t xml:space="preserve">lékařských </w:t>
      </w:r>
      <w:r w:rsidR="008D6BB3">
        <w:br/>
      </w:r>
      <w:r w:rsidR="00553BC1" w:rsidRPr="009F7E26">
        <w:t>a biologických věd</w:t>
      </w:r>
      <w:r w:rsidRPr="009F7E26">
        <w:t xml:space="preserve"> bylo na lednovém zasedání negativní. Zdůvodnění – pokud by bylo nutné přistoupit ke změnám (v souvislosti s rozvojem nových oborů apod.), bylo by nutné přistoupit k předem naplánované restrukturalizaci všech oborových komisí, koncepčně tento krok vyjasnit </w:t>
      </w:r>
      <w:r w:rsidR="008D6BB3">
        <w:br/>
      </w:r>
      <w:r w:rsidRPr="009F7E26">
        <w:t>a počítat s ním i v případném finančním plánu daného období.</w:t>
      </w:r>
      <w:r w:rsidR="00737E0B">
        <w:t xml:space="preserve"> KR upozorňuje, že zvýšení počtu panelů se promítne i do provozních nákladů kanceláře, a to minimálně v kategorii mzdových nákladů (odměny nově jmenovaným hodnotitelům).</w:t>
      </w:r>
      <w:r w:rsidRPr="009F7E26">
        <w:t xml:space="preserve"> </w:t>
      </w:r>
      <w:r w:rsidR="00737E0B">
        <w:t xml:space="preserve">Pokud bude takovýto návrh připravován, KR doporučuje připravit komplexní rozpočet záměru (kalkulaci nákladů s tímto procesem spojených). </w:t>
      </w:r>
    </w:p>
    <w:p w14:paraId="04158744" w14:textId="37ECB2E8" w:rsidR="009F7E26" w:rsidRPr="009F7E26" w:rsidRDefault="009F7E26" w:rsidP="00AB42C4">
      <w:pPr>
        <w:pStyle w:val="Odstavecseseznamem"/>
        <w:numPr>
          <w:ilvl w:val="0"/>
          <w:numId w:val="6"/>
        </w:numPr>
        <w:spacing w:after="120"/>
      </w:pPr>
      <w:r>
        <w:t xml:space="preserve">KR ocenila iniciativu předsednictva GAČR </w:t>
      </w:r>
      <w:r w:rsidR="00737E0B">
        <w:t xml:space="preserve">zaměřenou na vytvoření </w:t>
      </w:r>
      <w:r w:rsidRPr="00AB42C4">
        <w:rPr>
          <w:b/>
        </w:rPr>
        <w:t>Etického kodexu</w:t>
      </w:r>
      <w:r>
        <w:t xml:space="preserve"> pro hodnotitele žádostí o granty GAČR</w:t>
      </w:r>
      <w:r w:rsidR="00D93DF3">
        <w:t xml:space="preserve">. Jde o velmi citlivou, ale přitom nadmíru důležitou oblast, která je rozprostřena </w:t>
      </w:r>
      <w:r w:rsidR="008D6BB3">
        <w:br/>
      </w:r>
      <w:r w:rsidR="00D93DF3">
        <w:t>na všechny úrovně celého hodnot</w:t>
      </w:r>
      <w:r w:rsidR="001F7A48">
        <w:t>i</w:t>
      </w:r>
      <w:r w:rsidR="00D93DF3">
        <w:t>cího procesu GAČR ve všech souvislostech.</w:t>
      </w:r>
    </w:p>
    <w:p w14:paraId="2833A763" w14:textId="77777777" w:rsidR="00E35A86" w:rsidRDefault="00E35A86" w:rsidP="00544631">
      <w:pPr>
        <w:spacing w:after="120"/>
        <w:ind w:firstLine="709"/>
      </w:pPr>
      <w:r w:rsidRPr="00544631">
        <w:t>Velice těsná spolupráce probíhala s </w:t>
      </w:r>
      <w:r w:rsidRPr="00AB42C4">
        <w:rPr>
          <w:b/>
        </w:rPr>
        <w:t xml:space="preserve">Kanceláří GA </w:t>
      </w:r>
      <w:r w:rsidR="0088744D" w:rsidRPr="00AB42C4">
        <w:rPr>
          <w:b/>
        </w:rPr>
        <w:t>ČR</w:t>
      </w:r>
      <w:r w:rsidR="0088744D" w:rsidRPr="00544631">
        <w:t xml:space="preserve"> vedené Ing. Ladou Knetlovou a </w:t>
      </w:r>
      <w:r w:rsidRPr="00544631">
        <w:t>především s úsekem kontroly vedeným Ing. Martinou Vondráčkovou. Kontrolní rada ve spolupráci s úsekem kontroly Kanceláře GA ČR vykonávala dohled nad činností celé GA ČR, takže kontrolovala jak činnost předsednictva a jeho poradních orgánů, tak i účelnost a efektivitu využití finančních prostředků rozdělených na jednotlivé grantové projekty. Spolupráce s úsekem kontroly je pro úspěšnou činnost KR nezbytná, neboť tento úsek zajišťuje členům KR podklady pro jejich kontrolní činnost a zajišťuje</w:t>
      </w:r>
      <w:r w:rsidR="00544631" w:rsidRPr="00544631">
        <w:t xml:space="preserve"> administrativu kontrolní rady.</w:t>
      </w:r>
    </w:p>
    <w:p w14:paraId="37E1E7A5" w14:textId="77777777" w:rsidR="00E35A86" w:rsidRPr="00544631" w:rsidRDefault="00E35A86" w:rsidP="00544631">
      <w:pPr>
        <w:pStyle w:val="Nadpis1"/>
      </w:pPr>
      <w:r w:rsidRPr="00544631">
        <w:t>Závěr</w:t>
      </w:r>
    </w:p>
    <w:p w14:paraId="7080884B" w14:textId="6CAD3123" w:rsidR="00E35A86" w:rsidRPr="00544631" w:rsidRDefault="00E35A86" w:rsidP="00E35A86">
      <w:pPr>
        <w:spacing w:after="120"/>
        <w:ind w:firstLine="708"/>
      </w:pPr>
      <w:r w:rsidRPr="00544631">
        <w:rPr>
          <w:rFonts w:eastAsia="Arial"/>
        </w:rPr>
        <w:t>Kontroln</w:t>
      </w:r>
      <w:r w:rsidRPr="00544631">
        <w:t>í rada GA ČR p</w:t>
      </w:r>
      <w:r w:rsidR="00544631" w:rsidRPr="00544631">
        <w:t xml:space="preserve">lnila i během období od října 2017 do konce </w:t>
      </w:r>
      <w:r w:rsidR="00D93DF3">
        <w:t xml:space="preserve">září </w:t>
      </w:r>
      <w:r w:rsidR="00544631" w:rsidRPr="00544631">
        <w:t>2018, stejně jako v předchozím období,</w:t>
      </w:r>
      <w:r w:rsidRPr="00544631">
        <w:t xml:space="preserve"> všechny úkoly, které jí stanovuje zákon č. 130/2002 Sb., resp. jeho novela obsažená v zákoně č. 110/2009 Sb. Kontrolní rada standardně vykonávala ve sledovaném období kontrolu činnosti GA ČR, vyřizovala stížnosti </w:t>
      </w:r>
      <w:r w:rsidR="008D6BB3">
        <w:br/>
      </w:r>
      <w:r w:rsidRPr="00544631">
        <w:t xml:space="preserve">na neudělení finanční podpory projektům, projednávala a předkládala návrhy </w:t>
      </w:r>
      <w:r w:rsidR="008D6BB3">
        <w:br/>
      </w:r>
      <w:r w:rsidRPr="00544631">
        <w:t xml:space="preserve">na zlepšení činnosti GA ČR a prováděla fyzické kontroly při jednání panelů, oborových komisí a předsednictva za účelem dohledu nad transparentností procesu posuzování návrhů projektů. Ve spolupráci s úsekem kontroly Kanceláře GA ČR kontrolovala čerpání finančních prostředků a zaměřila se na případné neoprávněné nakládání </w:t>
      </w:r>
      <w:r w:rsidR="008D6BB3">
        <w:br/>
      </w:r>
      <w:r w:rsidRPr="00544631">
        <w:t xml:space="preserve">s finančními prostředky. Členové KR se aktivně účastnili práce, jak účastí </w:t>
      </w:r>
      <w:r w:rsidR="008D6BB3">
        <w:br/>
      </w:r>
      <w:r w:rsidRPr="00544631">
        <w:t xml:space="preserve">na pravidelných schůzích, tak zejména účastí na jednáních panelů, oborových komisí a předsednictva GA ČR. </w:t>
      </w:r>
    </w:p>
    <w:p w14:paraId="0DF99FE8" w14:textId="77777777" w:rsidR="00E35A86" w:rsidRPr="00544631" w:rsidRDefault="00E35A86" w:rsidP="00E35A86">
      <w:pPr>
        <w:spacing w:after="120"/>
      </w:pPr>
      <w:r w:rsidRPr="00544631">
        <w:rPr>
          <w:rFonts w:eastAsia="Arial"/>
        </w:rPr>
        <w:tab/>
        <w:t>V této činnosti</w:t>
      </w:r>
      <w:r w:rsidRPr="00544631">
        <w:t xml:space="preserve"> bude KR pokračovat i nadále, tj. v rámci zákonem daných kompetencí bude nadále navrhovat opatření na zlepšení činnosti GA ČR a pozornost bude věnovat i kontrole čerpání finančních prostředků poskytnutých GA ČR na řešení grantových projektů a tím přispívat ke zlepšení činnosti celého systému podpory základního výzkumu.</w:t>
      </w:r>
    </w:p>
    <w:p w14:paraId="0C756ACE" w14:textId="77777777" w:rsidR="00D93434" w:rsidRDefault="00D93434" w:rsidP="00E35A86">
      <w:pPr>
        <w:spacing w:after="120"/>
        <w:contextualSpacing/>
      </w:pPr>
    </w:p>
    <w:p w14:paraId="090DEC69" w14:textId="77777777" w:rsidR="006965F8" w:rsidRDefault="006965F8" w:rsidP="00E35A86">
      <w:pPr>
        <w:spacing w:after="120"/>
        <w:contextualSpacing/>
      </w:pPr>
    </w:p>
    <w:p w14:paraId="28C9A494" w14:textId="77777777" w:rsidR="006965F8" w:rsidRDefault="006965F8" w:rsidP="00E35A86">
      <w:pPr>
        <w:spacing w:after="120"/>
        <w:contextualSpacing/>
      </w:pPr>
    </w:p>
    <w:p w14:paraId="614F89BB" w14:textId="4A8699DE" w:rsidR="00E35A86" w:rsidRPr="00544631" w:rsidRDefault="00E35A86" w:rsidP="00E35A86">
      <w:pPr>
        <w:spacing w:after="120"/>
        <w:contextualSpacing/>
      </w:pPr>
      <w:bookmarkStart w:id="0" w:name="_GoBack"/>
      <w:bookmarkEnd w:id="0"/>
      <w:r w:rsidRPr="00544631">
        <w:t xml:space="preserve">V Praze, dne </w:t>
      </w:r>
      <w:r w:rsidR="008D6BB3">
        <w:t>12.</w:t>
      </w:r>
      <w:r w:rsidR="008D6BB3">
        <w:t xml:space="preserve"> </w:t>
      </w:r>
      <w:r w:rsidR="00D93DF3">
        <w:t>10</w:t>
      </w:r>
      <w:r w:rsidR="00B146FF">
        <w:t xml:space="preserve">. </w:t>
      </w:r>
      <w:r w:rsidR="00713CF6" w:rsidRPr="00544631">
        <w:t>2018</w:t>
      </w:r>
    </w:p>
    <w:p w14:paraId="4363B58F" w14:textId="77777777" w:rsidR="00E35A86" w:rsidRPr="00544631" w:rsidRDefault="00E35A86" w:rsidP="00E35A86">
      <w:pPr>
        <w:spacing w:after="120"/>
        <w:contextualSpacing/>
      </w:pPr>
    </w:p>
    <w:p w14:paraId="39595BD7" w14:textId="77777777" w:rsidR="00D93434" w:rsidRDefault="00D93434" w:rsidP="00544631">
      <w:pPr>
        <w:spacing w:after="120"/>
        <w:contextualSpacing/>
        <w:jc w:val="center"/>
      </w:pPr>
    </w:p>
    <w:p w14:paraId="63693A0A" w14:textId="77777777" w:rsidR="00D93434" w:rsidRDefault="00D93434" w:rsidP="00544631">
      <w:pPr>
        <w:spacing w:after="120"/>
        <w:contextualSpacing/>
        <w:jc w:val="center"/>
      </w:pPr>
    </w:p>
    <w:p w14:paraId="1B0DC1D9" w14:textId="681A7568" w:rsidR="00E35A86" w:rsidRPr="00713CF6" w:rsidRDefault="00D93434" w:rsidP="00544631">
      <w:pPr>
        <w:spacing w:after="120"/>
        <w:contextualSpacing/>
        <w:jc w:val="center"/>
      </w:pPr>
      <w:r>
        <w:t xml:space="preserve">                                               </w:t>
      </w:r>
      <w:r w:rsidR="00E35A86" w:rsidRPr="00713CF6">
        <w:t>Zpracovala:</w:t>
      </w:r>
    </w:p>
    <w:p w14:paraId="68B15620" w14:textId="3E28B331" w:rsidR="008D6BB3" w:rsidRDefault="00D93434" w:rsidP="00544631">
      <w:pPr>
        <w:spacing w:after="120"/>
        <w:contextualSpacing/>
        <w:jc w:val="center"/>
      </w:pPr>
      <w:r>
        <w:t xml:space="preserve">                                                                                </w:t>
      </w:r>
      <w:r w:rsidR="00713CF6" w:rsidRPr="00713CF6">
        <w:t>prof. PhDr. Jana Gerš</w:t>
      </w:r>
      <w:r w:rsidR="00544631">
        <w:t xml:space="preserve">lová, CSc. </w:t>
      </w:r>
    </w:p>
    <w:p w14:paraId="79D250E2" w14:textId="415A4AC4" w:rsidR="00E35A86" w:rsidRPr="00544631" w:rsidRDefault="00D93434" w:rsidP="00544631">
      <w:pPr>
        <w:spacing w:after="120"/>
        <w:contextualSpacing/>
        <w:jc w:val="center"/>
      </w:pPr>
      <w:r>
        <w:t xml:space="preserve">                                                                    </w:t>
      </w:r>
      <w:r w:rsidR="00544631">
        <w:t>předsedkyně KR GA ČR</w:t>
      </w:r>
    </w:p>
    <w:sectPr w:rsidR="00E35A86" w:rsidRPr="005446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E44A0" w14:textId="77777777" w:rsidR="00AE5489" w:rsidRDefault="00AE5489" w:rsidP="00FC63CD">
      <w:pPr>
        <w:spacing w:after="0" w:line="240" w:lineRule="auto"/>
      </w:pPr>
      <w:r>
        <w:separator/>
      </w:r>
    </w:p>
  </w:endnote>
  <w:endnote w:type="continuationSeparator" w:id="0">
    <w:p w14:paraId="6CC25EBC" w14:textId="77777777" w:rsidR="00AE5489" w:rsidRDefault="00AE5489" w:rsidP="00FC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566819"/>
      <w:docPartObj>
        <w:docPartGallery w:val="Page Numbers (Bottom of Page)"/>
        <w:docPartUnique/>
      </w:docPartObj>
    </w:sdtPr>
    <w:sdtContent>
      <w:p w14:paraId="3AB009B9" w14:textId="17360186" w:rsidR="00AE5489" w:rsidRDefault="00AE54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F8">
          <w:rPr>
            <w:noProof/>
          </w:rPr>
          <w:t>15</w:t>
        </w:r>
        <w:r>
          <w:fldChar w:fldCharType="end"/>
        </w:r>
      </w:p>
    </w:sdtContent>
  </w:sdt>
  <w:p w14:paraId="0E71CD56" w14:textId="77777777" w:rsidR="00AE5489" w:rsidRDefault="00AE54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5154E" w14:textId="77777777" w:rsidR="00AE5489" w:rsidRDefault="00AE5489" w:rsidP="00FC63CD">
      <w:pPr>
        <w:spacing w:after="0" w:line="240" w:lineRule="auto"/>
      </w:pPr>
      <w:r>
        <w:separator/>
      </w:r>
    </w:p>
  </w:footnote>
  <w:footnote w:type="continuationSeparator" w:id="0">
    <w:p w14:paraId="3AE327B9" w14:textId="77777777" w:rsidR="00AE5489" w:rsidRDefault="00AE5489" w:rsidP="00FC63CD">
      <w:pPr>
        <w:spacing w:after="0" w:line="240" w:lineRule="auto"/>
      </w:pPr>
      <w:r>
        <w:continuationSeparator/>
      </w:r>
    </w:p>
  </w:footnote>
  <w:footnote w:id="1">
    <w:p w14:paraId="597306D6" w14:textId="77777777" w:rsidR="00AE5489" w:rsidRDefault="00AE5489" w:rsidP="00FC63CD">
      <w:pPr>
        <w:pStyle w:val="Textpoznpodarou"/>
      </w:pPr>
      <w:r>
        <w:t>Všechny tabulky této zprávy jsou koncipovány tak, aby bylo možné srovnání s předchozími obdobími a údaji v předchozích zprávách – je zpracováno podle stejného klíče.</w:t>
      </w:r>
    </w:p>
  </w:footnote>
  <w:footnote w:id="2">
    <w:p w14:paraId="2CDA36BB" w14:textId="2392906E" w:rsidR="00AE5489" w:rsidRPr="00476FD4" w:rsidRDefault="00AE5489" w:rsidP="00476F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rPr>
          <w:sz w:val="20"/>
          <w:szCs w:val="20"/>
        </w:rPr>
      </w:pPr>
      <w:r w:rsidRPr="00476FD4">
        <w:rPr>
          <w:rStyle w:val="Znakapoznpodarou"/>
          <w:sz w:val="20"/>
          <w:szCs w:val="20"/>
        </w:rPr>
        <w:footnoteRef/>
      </w:r>
      <w:r w:rsidRPr="00476FD4">
        <w:rPr>
          <w:sz w:val="20"/>
          <w:szCs w:val="20"/>
        </w:rPr>
        <w:t xml:space="preserve"> Jed</w:t>
      </w:r>
      <w:r>
        <w:rPr>
          <w:sz w:val="20"/>
          <w:szCs w:val="20"/>
        </w:rPr>
        <w:t>ním</w:t>
      </w:r>
      <w:r w:rsidRPr="00476FD4">
        <w:rPr>
          <w:sz w:val="20"/>
          <w:szCs w:val="20"/>
        </w:rPr>
        <w:t xml:space="preserve"> </w:t>
      </w:r>
      <w:r>
        <w:rPr>
          <w:sz w:val="20"/>
          <w:szCs w:val="20"/>
        </w:rPr>
        <w:t>z podnětů</w:t>
      </w:r>
      <w:r w:rsidRPr="00476FD4">
        <w:rPr>
          <w:sz w:val="20"/>
          <w:szCs w:val="20"/>
        </w:rPr>
        <w:t xml:space="preserve"> již vloni proběhlé diskuse ze společného zasedání Kontrolní rady GA ČR </w:t>
      </w:r>
      <w:r w:rsidR="008D6BB3">
        <w:rPr>
          <w:sz w:val="20"/>
          <w:szCs w:val="20"/>
        </w:rPr>
        <w:br/>
      </w:r>
      <w:r w:rsidRPr="00476FD4">
        <w:rPr>
          <w:sz w:val="20"/>
          <w:szCs w:val="20"/>
        </w:rPr>
        <w:t xml:space="preserve">a </w:t>
      </w:r>
      <w:r w:rsidR="001F7A48">
        <w:rPr>
          <w:sz w:val="20"/>
          <w:szCs w:val="20"/>
        </w:rPr>
        <w:t>p</w:t>
      </w:r>
      <w:r w:rsidR="001F7A48" w:rsidRPr="00476FD4">
        <w:rPr>
          <w:sz w:val="20"/>
          <w:szCs w:val="20"/>
        </w:rPr>
        <w:t xml:space="preserve">ředsednictva </w:t>
      </w:r>
      <w:r w:rsidRPr="00476FD4">
        <w:rPr>
          <w:sz w:val="20"/>
          <w:szCs w:val="20"/>
        </w:rPr>
        <w:t>GA</w:t>
      </w:r>
      <w:r>
        <w:rPr>
          <w:sz w:val="20"/>
          <w:szCs w:val="20"/>
        </w:rPr>
        <w:t xml:space="preserve"> </w:t>
      </w:r>
      <w:r w:rsidRPr="00476FD4">
        <w:rPr>
          <w:sz w:val="20"/>
          <w:szCs w:val="20"/>
        </w:rPr>
        <w:t>ČR by</w:t>
      </w:r>
      <w:r>
        <w:rPr>
          <w:sz w:val="20"/>
          <w:szCs w:val="20"/>
        </w:rPr>
        <w:t>lo</w:t>
      </w:r>
      <w:r w:rsidRPr="00476FD4">
        <w:rPr>
          <w:sz w:val="20"/>
          <w:szCs w:val="20"/>
        </w:rPr>
        <w:t xml:space="preserve">, že řešením by bylo prodloužení doby řešení grantového projektu na 4 roky, přičemž </w:t>
      </w:r>
      <w:r>
        <w:rPr>
          <w:sz w:val="20"/>
          <w:szCs w:val="20"/>
        </w:rPr>
        <w:t xml:space="preserve">v </w:t>
      </w:r>
      <w:r w:rsidRPr="00476FD4">
        <w:rPr>
          <w:sz w:val="20"/>
          <w:szCs w:val="20"/>
        </w:rPr>
        <w:t>poslední</w:t>
      </w:r>
      <w:r>
        <w:rPr>
          <w:sz w:val="20"/>
          <w:szCs w:val="20"/>
        </w:rPr>
        <w:t>m</w:t>
      </w:r>
      <w:r w:rsidRPr="00476FD4">
        <w:rPr>
          <w:sz w:val="20"/>
          <w:szCs w:val="20"/>
        </w:rPr>
        <w:t xml:space="preserve"> ro</w:t>
      </w:r>
      <w:r>
        <w:rPr>
          <w:sz w:val="20"/>
          <w:szCs w:val="20"/>
        </w:rPr>
        <w:t>ce</w:t>
      </w:r>
      <w:r w:rsidRPr="00476FD4">
        <w:rPr>
          <w:sz w:val="20"/>
          <w:szCs w:val="20"/>
        </w:rPr>
        <w:t xml:space="preserve"> řešení by již nebyla poskytnuta finanční podpora na řešení projektu z rozpočtu GA ČR</w:t>
      </w:r>
      <w:r>
        <w:rPr>
          <w:sz w:val="20"/>
          <w:szCs w:val="20"/>
        </w:rPr>
        <w:t xml:space="preserve"> a projekt </w:t>
      </w:r>
      <w:r w:rsidRPr="00476FD4">
        <w:rPr>
          <w:sz w:val="20"/>
          <w:szCs w:val="20"/>
        </w:rPr>
        <w:t xml:space="preserve">by byl zaměřen jen na </w:t>
      </w:r>
      <w:r>
        <w:rPr>
          <w:sz w:val="20"/>
          <w:szCs w:val="20"/>
        </w:rPr>
        <w:t>publikace</w:t>
      </w:r>
      <w:r w:rsidRPr="00476FD4">
        <w:rPr>
          <w:sz w:val="20"/>
          <w:szCs w:val="20"/>
        </w:rPr>
        <w:t xml:space="preserve"> výsledku řešení. O tomto řešení se v současné době </w:t>
      </w:r>
      <w:r>
        <w:rPr>
          <w:sz w:val="20"/>
          <w:szCs w:val="20"/>
        </w:rPr>
        <w:t xml:space="preserve">dále </w:t>
      </w:r>
      <w:r w:rsidRPr="00476FD4">
        <w:rPr>
          <w:sz w:val="20"/>
          <w:szCs w:val="20"/>
        </w:rPr>
        <w:t>jedná.</w:t>
      </w:r>
    </w:p>
    <w:p w14:paraId="4A72687E" w14:textId="77777777" w:rsidR="00AE5489" w:rsidRDefault="00AE548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323243"/>
      <w:docPartObj>
        <w:docPartGallery w:val="Page Numbers (Top of Page)"/>
        <w:docPartUnique/>
      </w:docPartObj>
    </w:sdtPr>
    <w:sdtContent>
      <w:p w14:paraId="3F49929F" w14:textId="3220703E" w:rsidR="00AE5489" w:rsidRDefault="00AE548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F8">
          <w:rPr>
            <w:noProof/>
          </w:rPr>
          <w:t>15</w:t>
        </w:r>
        <w:r>
          <w:fldChar w:fldCharType="end"/>
        </w:r>
      </w:p>
    </w:sdtContent>
  </w:sdt>
  <w:p w14:paraId="048AB01D" w14:textId="77777777" w:rsidR="00AE5489" w:rsidRDefault="00AE54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09A"/>
    <w:multiLevelType w:val="hybridMultilevel"/>
    <w:tmpl w:val="B47EFC9C"/>
    <w:lvl w:ilvl="0" w:tplc="71CAE012">
      <w:start w:val="18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4628C7"/>
    <w:multiLevelType w:val="hybridMultilevel"/>
    <w:tmpl w:val="E9282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45E9"/>
    <w:multiLevelType w:val="hybridMultilevel"/>
    <w:tmpl w:val="BE58A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E55CD"/>
    <w:multiLevelType w:val="hybridMultilevel"/>
    <w:tmpl w:val="52889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08901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F4382"/>
    <w:multiLevelType w:val="hybridMultilevel"/>
    <w:tmpl w:val="40266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D38D0"/>
    <w:multiLevelType w:val="hybridMultilevel"/>
    <w:tmpl w:val="87426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39"/>
    <w:rsid w:val="000E6C50"/>
    <w:rsid w:val="001113F2"/>
    <w:rsid w:val="00165E0C"/>
    <w:rsid w:val="001C6705"/>
    <w:rsid w:val="001F7A48"/>
    <w:rsid w:val="002431A5"/>
    <w:rsid w:val="00256C80"/>
    <w:rsid w:val="002714FD"/>
    <w:rsid w:val="00286AE5"/>
    <w:rsid w:val="0030288F"/>
    <w:rsid w:val="00302CA0"/>
    <w:rsid w:val="003274E0"/>
    <w:rsid w:val="00331BA2"/>
    <w:rsid w:val="003525A7"/>
    <w:rsid w:val="003F762C"/>
    <w:rsid w:val="004038CD"/>
    <w:rsid w:val="004265FC"/>
    <w:rsid w:val="00432076"/>
    <w:rsid w:val="00462D9F"/>
    <w:rsid w:val="00476FD4"/>
    <w:rsid w:val="004E25EA"/>
    <w:rsid w:val="004F1EA5"/>
    <w:rsid w:val="0052427F"/>
    <w:rsid w:val="00544631"/>
    <w:rsid w:val="00553BC1"/>
    <w:rsid w:val="00584778"/>
    <w:rsid w:val="005C3390"/>
    <w:rsid w:val="005D6682"/>
    <w:rsid w:val="005F0EFE"/>
    <w:rsid w:val="00605439"/>
    <w:rsid w:val="00625649"/>
    <w:rsid w:val="006965F8"/>
    <w:rsid w:val="006A4C3D"/>
    <w:rsid w:val="006B2301"/>
    <w:rsid w:val="006E5F9F"/>
    <w:rsid w:val="006E69C7"/>
    <w:rsid w:val="006F7168"/>
    <w:rsid w:val="00713CF6"/>
    <w:rsid w:val="007257C2"/>
    <w:rsid w:val="00734AA3"/>
    <w:rsid w:val="00737E0B"/>
    <w:rsid w:val="007827BD"/>
    <w:rsid w:val="007C290C"/>
    <w:rsid w:val="007D5987"/>
    <w:rsid w:val="00873D6E"/>
    <w:rsid w:val="008856B7"/>
    <w:rsid w:val="0088744D"/>
    <w:rsid w:val="008904DD"/>
    <w:rsid w:val="008D6BB3"/>
    <w:rsid w:val="008E1C93"/>
    <w:rsid w:val="009326B1"/>
    <w:rsid w:val="0094758F"/>
    <w:rsid w:val="009C347D"/>
    <w:rsid w:val="009E0DD8"/>
    <w:rsid w:val="009E5BBD"/>
    <w:rsid w:val="009F7132"/>
    <w:rsid w:val="009F7E26"/>
    <w:rsid w:val="00A53CBE"/>
    <w:rsid w:val="00A62780"/>
    <w:rsid w:val="00A95AA4"/>
    <w:rsid w:val="00AA11C9"/>
    <w:rsid w:val="00AB42C4"/>
    <w:rsid w:val="00AC3D98"/>
    <w:rsid w:val="00AE5489"/>
    <w:rsid w:val="00B146FF"/>
    <w:rsid w:val="00B7761C"/>
    <w:rsid w:val="00B97D9C"/>
    <w:rsid w:val="00C94590"/>
    <w:rsid w:val="00CB3549"/>
    <w:rsid w:val="00CB3C29"/>
    <w:rsid w:val="00CD768B"/>
    <w:rsid w:val="00CE2F49"/>
    <w:rsid w:val="00CF132F"/>
    <w:rsid w:val="00D03B65"/>
    <w:rsid w:val="00D50AD6"/>
    <w:rsid w:val="00D649E8"/>
    <w:rsid w:val="00D75448"/>
    <w:rsid w:val="00D8042C"/>
    <w:rsid w:val="00D93434"/>
    <w:rsid w:val="00D93DF3"/>
    <w:rsid w:val="00D96E17"/>
    <w:rsid w:val="00DA3685"/>
    <w:rsid w:val="00DB01B7"/>
    <w:rsid w:val="00DD473F"/>
    <w:rsid w:val="00DF5C5B"/>
    <w:rsid w:val="00DF72FE"/>
    <w:rsid w:val="00E35A86"/>
    <w:rsid w:val="00E97A30"/>
    <w:rsid w:val="00EA5C76"/>
    <w:rsid w:val="00EC4233"/>
    <w:rsid w:val="00EC4356"/>
    <w:rsid w:val="00EF64C8"/>
    <w:rsid w:val="00F03AE1"/>
    <w:rsid w:val="00F061E5"/>
    <w:rsid w:val="00F10CDE"/>
    <w:rsid w:val="00F124D2"/>
    <w:rsid w:val="00F376DF"/>
    <w:rsid w:val="00F77DC3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66E3"/>
  <w15:docId w15:val="{4AFCCC92-BE25-428D-A642-C304AC4C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1B7"/>
    <w:pPr>
      <w:spacing w:after="200" w:line="300" w:lineRule="auto"/>
      <w:jc w:val="both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01B7"/>
    <w:pPr>
      <w:keepNext/>
      <w:keepLines/>
      <w:spacing w:before="480" w:after="240"/>
      <w:outlineLvl w:val="0"/>
    </w:pPr>
    <w:rPr>
      <w:rFonts w:eastAsiaTheme="majorEastAs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01B7"/>
    <w:rPr>
      <w:rFonts w:ascii="Arial" w:eastAsiaTheme="majorEastAsia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C6705"/>
    <w:pPr>
      <w:ind w:left="720"/>
      <w:contextualSpacing/>
    </w:pPr>
  </w:style>
  <w:style w:type="paragraph" w:customStyle="1" w:styleId="Default">
    <w:name w:val="Default"/>
    <w:rsid w:val="00FC6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63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63CD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63C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A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EC43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5C3390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631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631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37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E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E0B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E0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AB42-AD87-4C6D-A0D4-670F7D4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4497</Words>
  <Characters>26536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ger35</dc:creator>
  <cp:lastModifiedBy>Martina Vondráčková</cp:lastModifiedBy>
  <cp:revision>3</cp:revision>
  <cp:lastPrinted>2018-05-11T07:36:00Z</cp:lastPrinted>
  <dcterms:created xsi:type="dcterms:W3CDTF">2018-10-12T08:21:00Z</dcterms:created>
  <dcterms:modified xsi:type="dcterms:W3CDTF">2018-10-12T09:08:00Z</dcterms:modified>
</cp:coreProperties>
</file>