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ZÁKON</w:t>
      </w:r>
    </w:p>
    <w:p w:rsidR="00711E63" w:rsidRDefault="00711E63">
      <w:pPr>
        <w:keepNext/>
        <w:keepLines/>
        <w:jc w:val="center"/>
        <w:rPr>
          <w:rFonts w:cs="Arial"/>
          <w:b/>
          <w:bCs/>
        </w:rPr>
      </w:pPr>
    </w:p>
    <w:p w:rsidR="00711E63" w:rsidRDefault="00884ED6">
      <w:pPr>
        <w:keepNext/>
        <w:keepLines/>
        <w:jc w:val="center"/>
        <w:rPr>
          <w:rFonts w:cs="Arial"/>
        </w:rPr>
      </w:pPr>
      <w:r>
        <w:rPr>
          <w:rFonts w:cs="Arial"/>
        </w:rPr>
        <w:t>ze dne … 2018,</w:t>
      </w:r>
    </w:p>
    <w:p w:rsidR="00711E63" w:rsidRDefault="00711E63">
      <w:pPr>
        <w:keepNext/>
        <w:keepLines/>
        <w:jc w:val="center"/>
        <w:rPr>
          <w:rFonts w:cs="Arial"/>
        </w:rPr>
      </w:pPr>
    </w:p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kterým se mění zákon č. 353/2003 Sb., o spotřebních daních, ve znění pozdějších</w:t>
      </w:r>
    </w:p>
    <w:p w:rsidR="00711E63" w:rsidRDefault="00884ED6">
      <w:pPr>
        <w:keepNext/>
        <w:keepLines/>
        <w:jc w:val="center"/>
      </w:pPr>
      <w:r>
        <w:rPr>
          <w:rFonts w:cs="Arial"/>
          <w:b/>
          <w:bCs/>
        </w:rPr>
        <w:t>předpisů</w:t>
      </w:r>
    </w:p>
    <w:p w:rsidR="00711E63" w:rsidRDefault="00711E63">
      <w:pPr>
        <w:keepNext/>
        <w:keepLines/>
        <w:rPr>
          <w:rFonts w:cs="Arial"/>
        </w:rPr>
      </w:pPr>
    </w:p>
    <w:p w:rsidR="00884ED6" w:rsidRDefault="00884ED6">
      <w:pPr>
        <w:keepNext/>
        <w:keepLines/>
        <w:rPr>
          <w:rFonts w:cs="Arial"/>
        </w:rPr>
      </w:pPr>
    </w:p>
    <w:p w:rsidR="00711E63" w:rsidRDefault="00884ED6">
      <w:pPr>
        <w:keepNext/>
        <w:keepLines/>
      </w:pPr>
      <w:r>
        <w:rPr>
          <w:rFonts w:cs="Arial"/>
        </w:rPr>
        <w:t>Parlament se usnesl na tomto zákoně České republiky:</w:t>
      </w:r>
    </w:p>
    <w:p w:rsidR="00711E63" w:rsidRDefault="00711E63">
      <w:pPr>
        <w:keepNext/>
        <w:keepLines/>
        <w:rPr>
          <w:rFonts w:cs="Arial"/>
        </w:rPr>
      </w:pPr>
    </w:p>
    <w:p w:rsidR="00711E63" w:rsidRDefault="00884ED6">
      <w:pPr>
        <w:keepNext/>
        <w:keepLines/>
        <w:jc w:val="center"/>
        <w:rPr>
          <w:rFonts w:cs="Arial"/>
        </w:rPr>
      </w:pPr>
      <w:r>
        <w:rPr>
          <w:rFonts w:cs="Arial"/>
        </w:rPr>
        <w:t>Čl. I</w:t>
      </w:r>
    </w:p>
    <w:p w:rsidR="00711E63" w:rsidRDefault="00884ED6">
      <w:pPr>
        <w:pStyle w:val="Textlnku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57 zákona č. 353/2003 Sb., o spotřebních daních, ve znění zákona č. 479/2003 Sb., zákona č. 237/2004 Sb., zákona č. 313/2004 Sb., zákona č. 558/2004 Sb., zákona </w:t>
      </w:r>
      <w:r>
        <w:rPr>
          <w:rFonts w:ascii="Arial" w:hAnsi="Arial" w:cs="Arial"/>
          <w:sz w:val="22"/>
          <w:szCs w:val="22"/>
        </w:rPr>
        <w:br/>
        <w:t>č. 693/2004 Sb., zákona č. 179/2005 Sb., zákona č. 217/2005 Sb., zákona č. 377/2005 Sb., zák</w:t>
      </w:r>
      <w:r>
        <w:rPr>
          <w:rFonts w:ascii="Arial" w:hAnsi="Arial" w:cs="Arial"/>
          <w:sz w:val="22"/>
          <w:szCs w:val="22"/>
        </w:rPr>
        <w:t xml:space="preserve">ona č. 379/2005 Sb., zákona č. 545/2005 Sb., zákona č. 310/2006 Sb., zákona </w:t>
      </w:r>
      <w:r>
        <w:rPr>
          <w:rFonts w:ascii="Arial" w:hAnsi="Arial" w:cs="Arial"/>
          <w:sz w:val="22"/>
          <w:szCs w:val="22"/>
        </w:rPr>
        <w:br/>
        <w:t xml:space="preserve">č. 575/2006 Sb., zákona č. 261/2007 Sb., zákona č. 270/2007 Sb., zákona č. 296/2007 Sb., zákona č. 37/2008 Sb., zákona č. 124/2008 Sb., zákona č. 245/2008 Sb., zákona </w:t>
      </w:r>
      <w:r>
        <w:rPr>
          <w:rFonts w:ascii="Arial" w:hAnsi="Arial" w:cs="Arial"/>
          <w:sz w:val="22"/>
          <w:szCs w:val="22"/>
        </w:rPr>
        <w:br/>
        <w:t>č. 309/2008</w:t>
      </w:r>
      <w:r>
        <w:rPr>
          <w:rFonts w:ascii="Arial" w:hAnsi="Arial" w:cs="Arial"/>
          <w:sz w:val="22"/>
          <w:szCs w:val="22"/>
        </w:rPr>
        <w:t xml:space="preserve"> Sb., zákona č. 87/2009 Sb., zákona č. 281/2009 Sb., zákona č. 292/2009 Sb., zákona č. 362/2009 Sb., zákona č. 59/2010 Sb., zákona č. 95/2011 Sb., zákona č. 221/2011 Sb., zákona č. 420/2011 Sb., zákona č. 457/2011 Sb., zákona č. 458/2011 Sb., zákona č. 18/</w:t>
      </w:r>
      <w:r>
        <w:rPr>
          <w:rFonts w:ascii="Arial" w:hAnsi="Arial" w:cs="Arial"/>
          <w:sz w:val="22"/>
          <w:szCs w:val="22"/>
        </w:rPr>
        <w:t>2012 Sb., zákona č. 407/2012 Sb., zákona č. 500/2012 Sb., zákona č. 308/2013 Sb., zákonného opatření Senátu č. 344/2013 Sb., zákona č. 201/2014 Sb., zákona č. 331/2014 Sb., zákona č. 157/2015 Sb., zákona č. 315/2015 Sb., zákona č. 382/2015 Sb., zákona č. 1</w:t>
      </w:r>
      <w:r>
        <w:rPr>
          <w:rFonts w:ascii="Arial" w:hAnsi="Arial" w:cs="Arial"/>
          <w:sz w:val="22"/>
          <w:szCs w:val="22"/>
        </w:rPr>
        <w:t>88/2016 Sb., zákona č. 243/2016 Sb. a zákona č. 453/2016 Sb., včetně nadpisu zní:</w:t>
      </w:r>
    </w:p>
    <w:p w:rsidR="00711E63" w:rsidRDefault="00884ED6">
      <w:pPr>
        <w:pStyle w:val="Paragra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„§ 57</w:t>
      </w:r>
    </w:p>
    <w:p w:rsidR="00711E63" w:rsidRDefault="00884ED6">
      <w:pPr>
        <w:pStyle w:val="Nadpisparagraf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Vracení daně z minerálních olejů osobám užívajícím tyto oleje pro zemědělskou prvovýrobu a pro provádění hospodaření v lese</w:t>
      </w:r>
    </w:p>
    <w:p w:rsidR="00711E63" w:rsidRDefault="00884ED6">
      <w:pPr>
        <w:pStyle w:val="Textodstavce"/>
        <w:keepNext/>
        <w:keepLines/>
        <w:numPr>
          <w:ilvl w:val="6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Nárok na vrácení daně vzniká osobě podnikají</w:t>
      </w:r>
      <w:r>
        <w:rPr>
          <w:rFonts w:ascii="Arial" w:hAnsi="Arial" w:cs="Arial"/>
          <w:sz w:val="22"/>
          <w:szCs w:val="22"/>
        </w:rPr>
        <w:t>cí podle zákona upravujícího zemědělství, která provozuje zemědělskou prvovýrobu, nebo osobě, která provádí hospodaření v lese podle lesního zákona. Podmínkou nároku na vrácení daně je, že tato osoba nakoupila minerální oleje uvedené v § 45 odst. 1 písm. b</w:t>
      </w:r>
      <w:r>
        <w:rPr>
          <w:rFonts w:ascii="Arial" w:hAnsi="Arial" w:cs="Arial"/>
          <w:sz w:val="22"/>
          <w:szCs w:val="22"/>
        </w:rPr>
        <w:t xml:space="preserve">) a § 45 odst. 2 písm. c) a j) za cenu obsahující daň nebo tyto oleje vyrobila a tyto nakoupené nebo vyrobené minerální oleje prokazatelně použila pro zemědělskou prvovýrobu nebo pro provádění hospodaření </w:t>
      </w:r>
      <w:r>
        <w:rPr>
          <w:rFonts w:ascii="Arial" w:hAnsi="Arial" w:cs="Arial"/>
          <w:sz w:val="22"/>
          <w:szCs w:val="22"/>
        </w:rPr>
        <w:br/>
        <w:t>v lese. Nárok na vrácení daně vzniká dnem spotřeby</w:t>
      </w:r>
      <w:r>
        <w:rPr>
          <w:rFonts w:ascii="Arial" w:hAnsi="Arial" w:cs="Arial"/>
          <w:sz w:val="22"/>
          <w:szCs w:val="22"/>
        </w:rPr>
        <w:t xml:space="preserve"> těchto minerálních olejů pro stanovený účel. </w:t>
      </w:r>
    </w:p>
    <w:p w:rsidR="00711E63" w:rsidRDefault="00884ED6">
      <w:pPr>
        <w:pStyle w:val="Textodstavce"/>
        <w:keepNext/>
        <w:keepLines/>
        <w:numPr>
          <w:ilvl w:val="6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Nárok na vrácení daně podle odstavce 1 se nevztahuje na toho, komu byla vrácena daň z uvedených minerálních olejů podle § 15 nebo 15a. Nárok na vrácení daně rovněž nevzniká osobě, která je ke dni podání daňové</w:t>
      </w:r>
      <w:r>
        <w:rPr>
          <w:rFonts w:ascii="Arial" w:hAnsi="Arial" w:cs="Arial"/>
          <w:sz w:val="22"/>
          <w:szCs w:val="22"/>
        </w:rPr>
        <w:t xml:space="preserve">ho přiznání v likvidaci, úpadku nebo která je povinna navrátit veřejnou podporu v návaznosti na rozhodnutí Evropské komise, jímž byla podpora poskytnutá této osobě prohlášena za protiprávní a neslučitelnou s vnitřním trhem. </w:t>
      </w:r>
    </w:p>
    <w:p w:rsidR="00711E63" w:rsidRDefault="00884ED6">
      <w:pPr>
        <w:pStyle w:val="Textodstavce"/>
        <w:keepNext/>
        <w:keepLines/>
        <w:numPr>
          <w:ilvl w:val="6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Zemědělskou prvovýrobou se pro </w:t>
      </w:r>
      <w:r>
        <w:rPr>
          <w:rFonts w:ascii="Arial" w:hAnsi="Arial" w:cs="Arial"/>
          <w:sz w:val="22"/>
          <w:szCs w:val="22"/>
        </w:rPr>
        <w:t xml:space="preserve">účely spotřebních daní rozumí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rostlinná výroba včetně chmelařství, ovocnářství, vinohradnictví, pěstování zeleniny, hub, okrasných květin, dřevin, léčivých a aromatických rostlin na pozemcích vlastních nebo propachtovaných, případně na pozemcích obhospoda</w:t>
      </w:r>
      <w:r>
        <w:rPr>
          <w:rFonts w:ascii="Arial" w:hAnsi="Arial" w:cs="Arial"/>
          <w:sz w:val="22"/>
          <w:szCs w:val="22"/>
        </w:rPr>
        <w:t>řovaných z jiného právního důvodu,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chov skotu, koní,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prasat, drůbeže, ovcí nebo koz za účelem získávání, zpracování nebo výroby živočišných produktů nebo produkce těchto chovných nebo plemenných zvířat evidovaných podle plemenářského zákona,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rybníkářství p</w:t>
      </w:r>
      <w:r>
        <w:rPr>
          <w:rFonts w:ascii="Arial" w:hAnsi="Arial" w:cs="Arial"/>
          <w:sz w:val="22"/>
          <w:szCs w:val="22"/>
        </w:rPr>
        <w:t>odle zákona upravujícího rybářství.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Osoba, které vznikl nárok na vrácení daně podle odstavce 1, má pro tento účel postavení daňového subjektu bez povinnosti se registrovat.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Daň, která byla zahrnuta do ceny nakoupených minerálních olejů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spotřebovaných při</w:t>
      </w:r>
      <w:r>
        <w:rPr>
          <w:rFonts w:ascii="Arial" w:hAnsi="Arial" w:cs="Arial"/>
          <w:sz w:val="22"/>
          <w:szCs w:val="22"/>
        </w:rPr>
        <w:t xml:space="preserve"> činnostech uvedených v odstavci 3 písm. a), se vrací ve výši 4 380 Kč/1 000 l nakoupených minerálních olejů uvedených v § 45 odst. 1 písm. b) nebo v § 45 odst. 2 písm. c) nebo j),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spotřebovaných při činnostech uvedených v odstavci 3 písm. b), se vrací ve výši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9 500 Kč/1 000 l nakoupených minerálních olejů uvedených v § 45 odst. 1 písm. b) nebo v § 45 odst. 2 písm. j),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7 000 Kč/1 000 l nakoupených minerálních olejů uvedených v § 45</w:t>
      </w:r>
      <w:r>
        <w:rPr>
          <w:rFonts w:ascii="Arial" w:hAnsi="Arial" w:cs="Arial"/>
          <w:sz w:val="22"/>
          <w:szCs w:val="22"/>
        </w:rPr>
        <w:t xml:space="preserve"> odst. 2 písm. c),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spotřebovaných při činnostech uvedených v odstavci 3 písm. c), se vrací ve výši 4 380 Kč/1000 l nakoupených minerálních olejů uvedených v § 45 odst. 1 písm. b) nebo v § 45 odst. 2 písm. c) nebo j),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spotřebovaných při provádění hospodařen</w:t>
      </w:r>
      <w:r>
        <w:rPr>
          <w:rFonts w:ascii="Arial" w:hAnsi="Arial" w:cs="Arial"/>
          <w:sz w:val="22"/>
          <w:szCs w:val="22"/>
        </w:rPr>
        <w:t>í v lese, se vrací ve výši 4 380 Kč/1000 l nakoupených minerálních olejů uvedených v § 45 odst. 1 písm. b) nebo v § 45 odst. 2 písm. c) nebo j).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Daň, která byla zahrnuta do ceny nakoupených minerálních olejů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uvedených v § 45 odst. 1 písm. b) nebo § 45 odst</w:t>
      </w:r>
      <w:r>
        <w:rPr>
          <w:rFonts w:ascii="Arial" w:hAnsi="Arial" w:cs="Arial"/>
          <w:sz w:val="22"/>
          <w:szCs w:val="22"/>
        </w:rPr>
        <w:t xml:space="preserve">. 2 písm. j) spotřebovaných při činnostech uvedených v odstavci 3 písm. a) nebo b), se vrací osobě s intenzitou chovu hospodářských zvířat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0,2 ve výši 4 380 Kč/1 000 l nakoupených minerálních olejů,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0,2 do 0,4 ve výši 6 940 Kč/1 000 l nakoupených </w:t>
      </w:r>
      <w:r>
        <w:rPr>
          <w:rFonts w:ascii="Arial" w:hAnsi="Arial" w:cs="Arial"/>
          <w:sz w:val="22"/>
          <w:szCs w:val="22"/>
        </w:rPr>
        <w:t>minerálních olejů,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 0,4 ve výši 9 500 Kč/1 000 l nakoupených minerálních olejů,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uvedených v § 45 odst. 2 písm. c) spotřebovaných při činnostech uvedených v odstavci 3 písm. a) nebo b), se vrací osobě s intenzitou chovu hospodářských zvířat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0,2 ve vý</w:t>
      </w:r>
      <w:r>
        <w:rPr>
          <w:rFonts w:ascii="Arial" w:hAnsi="Arial" w:cs="Arial"/>
          <w:sz w:val="22"/>
          <w:szCs w:val="22"/>
        </w:rPr>
        <w:t xml:space="preserve">ši 4 380 Kč/1 000 l nakoupených minerálních olejů, 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 0,2 do 0,4 ve výši 5 690 Kč/1 000 l nakoupených minerálních olejů,</w:t>
      </w:r>
    </w:p>
    <w:p w:rsidR="00711E63" w:rsidRDefault="00884ED6">
      <w:pPr>
        <w:pStyle w:val="Textbodu"/>
        <w:keepNext/>
        <w:keepLines/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 0,4 ve výši 7 000 Kč/1 000 l nakoupených minerálních olejů.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Intenzitou chovu hospodářských zvířat se pro účely spotřebních daní r</w:t>
      </w:r>
      <w:r>
        <w:rPr>
          <w:rFonts w:ascii="Arial" w:hAnsi="Arial" w:cs="Arial"/>
          <w:sz w:val="22"/>
          <w:szCs w:val="22"/>
        </w:rPr>
        <w:t xml:space="preserve">ozumí podíl počtu hospodářských zvířat podle odstavce 3 písm. b), která jsou chována osobou uvedenou v odstavci 1, přepočteného na velkou dobytčí jednotku podle prováděcího právního předpisu, a výměry zemědělské půdy s druhem zemědělské kultury orná půda, </w:t>
      </w:r>
      <w:r>
        <w:rPr>
          <w:rFonts w:ascii="Arial" w:hAnsi="Arial" w:cs="Arial"/>
          <w:sz w:val="22"/>
          <w:szCs w:val="22"/>
        </w:rPr>
        <w:t xml:space="preserve">trvalý travní porost nebo trvalá kultura, která je vedena v evidenci využití půdy podle zákona upravujícího zemědělství.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pevné částky vracené daně ze směsí minerálních olejů uvedených v § 45 odst. 2 písm. c) nebo j) podle odstavců 5 a 6 je vypočtena </w:t>
      </w:r>
      <w:r>
        <w:rPr>
          <w:rFonts w:ascii="Arial" w:hAnsi="Arial" w:cs="Arial"/>
          <w:sz w:val="22"/>
          <w:szCs w:val="22"/>
        </w:rPr>
        <w:t>z výše daně, která byla zahrnuta do ceny těchto minerálních olejů, snížené o výši daně odpovídající podílu biopaliva ve směsi.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kalendářní měsíc nelze současně uplatnit nárok na vrácení daně ve výši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stanovené v odstavci 5 písm. a) a b),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stanovené v </w:t>
      </w:r>
      <w:r>
        <w:rPr>
          <w:rFonts w:ascii="Arial" w:hAnsi="Arial" w:cs="Arial"/>
          <w:sz w:val="22"/>
          <w:szCs w:val="22"/>
        </w:rPr>
        <w:t>odstavci 5 písm. a) nebo b) a odstavci 6.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Nárok na vrácení daně se prokazuje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dokladem o prodeji minerálních olejů uvedených v odstavci 1 a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evidencí o skutečné spotřebě minerálních olejů uvedených v odstavci 1. </w:t>
      </w:r>
    </w:p>
    <w:p w:rsidR="00711E63" w:rsidRDefault="00884ED6">
      <w:pPr>
        <w:keepNext/>
        <w:keepLines/>
        <w:rPr>
          <w:rFonts w:cs="Arial"/>
        </w:rPr>
      </w:pPr>
      <w:r>
        <w:rPr>
          <w:rFonts w:cs="Arial"/>
        </w:rPr>
        <w:t xml:space="preserve">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Nárok na vrácení daně se v případě, kdy o</w:t>
      </w:r>
      <w:r>
        <w:rPr>
          <w:rFonts w:ascii="Arial" w:hAnsi="Arial" w:cs="Arial"/>
          <w:sz w:val="22"/>
          <w:szCs w:val="22"/>
        </w:rPr>
        <w:t xml:space="preserve">soba uvedená v odstavci 1 spotřebované minerální oleje uvedené v odstavci 1 sama vyrobila, prokazuje interním dokladem namísto dokladu o prodeji minerálních olejů uvedených v odstavci 1.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dokladu o prodeji minerálních olejů uvedených v odstavci 1, který</w:t>
      </w:r>
      <w:r>
        <w:rPr>
          <w:rFonts w:ascii="Arial" w:hAnsi="Arial" w:cs="Arial"/>
          <w:sz w:val="22"/>
          <w:szCs w:val="22"/>
        </w:rPr>
        <w:t xml:space="preserve"> je prodávající povinen při prodeji bezodkladně vydat, musí být uvedeny tyto náležitosti: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 nebo jméno, sídlo a daňové identifikační číslo prodávajícího,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 nebo jméno, sídlo nebo místo pobytu a daňové identifikační číslo, bylo-li přiděleno, nebo datum narození kupujícího,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množství minerálních olejů uvedených v odstavci 1 v jednotkách podle § 47 odst. 1, jejich obchodní označení a kód nomenklat</w:t>
      </w:r>
      <w:r>
        <w:rPr>
          <w:rFonts w:ascii="Arial" w:hAnsi="Arial" w:cs="Arial"/>
          <w:sz w:val="22"/>
          <w:szCs w:val="22"/>
        </w:rPr>
        <w:t xml:space="preserve">ury,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spotřební daně platná v den uvedení minerálních olejů uvedených v odstavci 1 do volného daňového oběhu,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spotřební daně celkem,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vystavení dokladu o prodeji,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dokladu o prodeji.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interním dokladu podle odstavce 11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musí být </w:t>
      </w:r>
      <w:r>
        <w:rPr>
          <w:rFonts w:ascii="Arial" w:hAnsi="Arial" w:cs="Arial"/>
          <w:sz w:val="22"/>
          <w:szCs w:val="22"/>
        </w:rPr>
        <w:t>uvedeny tyto náležitosti: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 nebo jméno, sídlo nebo místo pobytu a daňové identifikační číslo nebo datum narození výrobce,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množství minerálních olejů uvedených v odstavci 1 v jednotkách podle § 47 odst. 1, obchodní označení a kód nomenklatury,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spotřební daně platná v den uvedení minerálních olejů uvedených v odstavci 1 do volného daňového oběhu,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spotřební daně celkem,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vystavení interního dokladu, 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interního dokladu.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označení podle odstavce 12 písm. c) nebo po</w:t>
      </w:r>
      <w:r>
        <w:rPr>
          <w:rFonts w:ascii="Arial" w:hAnsi="Arial" w:cs="Arial"/>
          <w:sz w:val="22"/>
          <w:szCs w:val="22"/>
        </w:rPr>
        <w:t xml:space="preserve">dle odstavce 13 písm. b) musí být uvedeno dostatečně přesným termínem, který umožní zjištění totožnosti minerálního oleje uvedeného v odstavci 1 tak, aby bylo možné jednoznačně stanovit, jaká sazba daně je pro tento výrobek stanovena.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Nárok na vrácení da</w:t>
      </w:r>
      <w:r>
        <w:rPr>
          <w:rFonts w:ascii="Arial" w:hAnsi="Arial" w:cs="Arial"/>
          <w:sz w:val="22"/>
          <w:szCs w:val="22"/>
        </w:rPr>
        <w:t>ně lze uplatnit v daňovém přiznání poprvé do 25. dne měsíce následujícího po měsíci, ve kterém nárok na vrácení daně vznikl, nejpozději však do 2 měsíců ode dne, kdy mohl být nárok uplatněn poprvé. Fyzická osoba může nárok na vrácení daně uplatnit nejpozdě</w:t>
      </w:r>
      <w:r>
        <w:rPr>
          <w:rFonts w:ascii="Arial" w:hAnsi="Arial" w:cs="Arial"/>
          <w:sz w:val="22"/>
          <w:szCs w:val="22"/>
        </w:rPr>
        <w:t xml:space="preserve">ji do 6 měsíců ode dne, kdy mohla nárok uplatnit poprvé. Jestliže v této lhůtě nebyl nárok na vrácení daně uplatněn, nárok na vrácení daně zaniká </w:t>
      </w:r>
      <w:r>
        <w:rPr>
          <w:rFonts w:ascii="Arial" w:hAnsi="Arial" w:cs="Arial"/>
          <w:sz w:val="22"/>
          <w:szCs w:val="22"/>
        </w:rPr>
        <w:br/>
        <w:t>a tuto lhůtu nelze prodloužit ani nelze povolit navrácení v předešlý stav. Vznikne-li vyměřením nároku na vrá</w:t>
      </w:r>
      <w:r>
        <w:rPr>
          <w:rFonts w:ascii="Arial" w:hAnsi="Arial" w:cs="Arial"/>
          <w:sz w:val="22"/>
          <w:szCs w:val="22"/>
        </w:rPr>
        <w:t xml:space="preserve">cení daně vratitelný přeplatek, vrátí se bez žádosti do 30 kalendářních dní ode dne následujícího po jeho vzniku.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Dodatečné daňové přiznání na zvýšení nároku na vrácení daně lze podat nejpozději do 2 měsíců ode dne, kdy nárok na vrácení daně mohl být napo</w:t>
      </w:r>
      <w:r>
        <w:rPr>
          <w:rFonts w:ascii="Arial" w:hAnsi="Arial" w:cs="Arial"/>
          <w:sz w:val="22"/>
          <w:szCs w:val="22"/>
        </w:rPr>
        <w:t xml:space="preserve">sledy uplatněn. Pokud v této lhůtě nebylo dodatečné daňové přiznání předloženo, nárok na vrácení daně zaniká a tuto lhůtu nelze prodloužit ani nelze povolit navrácení v předešlý stav. 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Daňové přiznání a dodatečné daňové přiznání, kterým se uplatňuje nárok </w:t>
      </w:r>
      <w:r>
        <w:rPr>
          <w:rFonts w:ascii="Arial" w:hAnsi="Arial" w:cs="Arial"/>
          <w:sz w:val="22"/>
          <w:szCs w:val="22"/>
        </w:rPr>
        <w:t>na vrácení daně, podávají právnické osoby elektronicky ve formátu a struktuře zveřejněné správcem daně způsobem umožňujícím dálkový přístup.</w:t>
      </w:r>
    </w:p>
    <w:p w:rsidR="00711E63" w:rsidRDefault="00884ED6">
      <w:pPr>
        <w:pStyle w:val="Textodstavce"/>
        <w:keepNext/>
        <w:keepLines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Prováděcí právní předpis stanoví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výpočtu nároku na vrácení daně z minerálních olejů uvedených v odstavci 1, </w:t>
      </w:r>
      <w:r>
        <w:rPr>
          <w:rFonts w:ascii="Arial" w:hAnsi="Arial" w:cs="Arial"/>
          <w:sz w:val="22"/>
          <w:szCs w:val="22"/>
        </w:rPr>
        <w:t>spotřebovaných v zemědělské prvovýrobě a při provádění hospodaření v lese,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a podmínky vedení dokladů a evidence podle odstavců 10 až 13 a</w:t>
      </w:r>
    </w:p>
    <w:p w:rsidR="00711E63" w:rsidRDefault="00884ED6">
      <w:pPr>
        <w:pStyle w:val="Textpsmene"/>
        <w:keepNext/>
        <w:keepLines/>
        <w:numPr>
          <w:ilvl w:val="7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a způsob výpočtu a prokázání intenzity chovu zvířat, včetně přepočtu hospodářských zvířat na velké dob</w:t>
      </w:r>
      <w:r>
        <w:rPr>
          <w:rFonts w:ascii="Arial" w:hAnsi="Arial" w:cs="Arial"/>
          <w:sz w:val="22"/>
          <w:szCs w:val="22"/>
        </w:rPr>
        <w:t>ytčí jednotky.“.</w:t>
      </w:r>
    </w:p>
    <w:p w:rsidR="00711E63" w:rsidRDefault="00711E63">
      <w:pPr>
        <w:keepNext/>
        <w:keepLines/>
        <w:jc w:val="center"/>
        <w:rPr>
          <w:rFonts w:cs="Arial"/>
        </w:rPr>
      </w:pPr>
    </w:p>
    <w:p w:rsidR="00711E63" w:rsidRDefault="00884ED6">
      <w:pPr>
        <w:keepNext/>
        <w:keepLines/>
        <w:jc w:val="center"/>
        <w:rPr>
          <w:rFonts w:cs="Arial"/>
        </w:rPr>
      </w:pPr>
      <w:r>
        <w:rPr>
          <w:rFonts w:cs="Arial"/>
        </w:rPr>
        <w:t>Čl. II</w:t>
      </w:r>
    </w:p>
    <w:p w:rsidR="00711E63" w:rsidRDefault="00711E63">
      <w:pPr>
        <w:keepNext/>
        <w:keepLines/>
        <w:jc w:val="center"/>
        <w:rPr>
          <w:rFonts w:cs="Arial"/>
          <w:b/>
          <w:bCs/>
        </w:rPr>
      </w:pPr>
    </w:p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Účinnost</w:t>
      </w:r>
    </w:p>
    <w:p w:rsidR="00711E63" w:rsidRDefault="00711E63">
      <w:pPr>
        <w:keepNext/>
        <w:keepLines/>
        <w:jc w:val="center"/>
        <w:rPr>
          <w:rFonts w:cs="Arial"/>
        </w:rPr>
      </w:pPr>
    </w:p>
    <w:p w:rsidR="00711E63" w:rsidRDefault="00884ED6">
      <w:pPr>
        <w:keepNext/>
        <w:keepLines/>
        <w:ind w:firstLine="708"/>
        <w:rPr>
          <w:rFonts w:cs="Arial"/>
          <w:b/>
          <w:bCs/>
        </w:rPr>
      </w:pPr>
      <w:r>
        <w:rPr>
          <w:rFonts w:cs="Arial"/>
        </w:rPr>
        <w:t>Tento zákon nabývá účinnosti dnem 1. ledna 2019.</w:t>
      </w:r>
    </w:p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Důvodová zpráva</w:t>
      </w:r>
    </w:p>
    <w:p w:rsidR="00711E63" w:rsidRDefault="00711E63">
      <w:pPr>
        <w:keepNext/>
        <w:keepLines/>
        <w:jc w:val="center"/>
        <w:rPr>
          <w:rFonts w:cs="Arial"/>
          <w:b/>
          <w:bCs/>
        </w:rPr>
      </w:pPr>
    </w:p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I. Obecná část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Zhodnocení platného právního stavu </w:t>
      </w: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</w:rPr>
        <w:t xml:space="preserve">Problematiku nároku na vrácení části spotřební daně, zaplacené z vybraných minerálních olejů spotřebovaných v zemědělské prvovýrobě a pro provádění hospodaření v lese, upravuje § 57 zákona č. 353/2003 Sb. o spotřebních daních, ve znění pozdějších předpisů </w:t>
      </w:r>
      <w:r>
        <w:rPr>
          <w:rFonts w:cs="Arial"/>
        </w:rPr>
        <w:t xml:space="preserve">(dále jen „zákon o spotřebních daních“).   </w:t>
      </w:r>
    </w:p>
    <w:p w:rsidR="00711E63" w:rsidRDefault="00711E63">
      <w:pPr>
        <w:keepNext/>
        <w:keepLines/>
        <w:ind w:firstLine="709"/>
        <w:rPr>
          <w:rFonts w:cs="Arial"/>
        </w:rPr>
      </w:pPr>
    </w:p>
    <w:p w:rsidR="00711E63" w:rsidRDefault="00884ED6">
      <w:pPr>
        <w:keepNext/>
        <w:keepLines/>
        <w:ind w:firstLine="709"/>
        <w:rPr>
          <w:rFonts w:cs="Arial"/>
        </w:rPr>
      </w:pPr>
      <w:r>
        <w:rPr>
          <w:rFonts w:cs="Arial"/>
        </w:rPr>
        <w:t>Nárok na vrácení spotřební daně vzniká zemědělským podnikatelům, kteří provozují:</w:t>
      </w:r>
    </w:p>
    <w:p w:rsidR="00711E63" w:rsidRDefault="00884ED6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pouze rostlinnou výrobu podle § 57 odst. 3 písm. a) zákona o spotřebních daních (dále jen „čistá rostlinná výroba“),</w:t>
      </w:r>
    </w:p>
    <w:p w:rsidR="00711E63" w:rsidRDefault="00884ED6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ros</w:t>
      </w:r>
      <w:r>
        <w:rPr>
          <w:rFonts w:ascii="Arial" w:hAnsi="Arial" w:cs="Arial"/>
        </w:rPr>
        <w:t>tlinnou výrobu a chov skotu, koní prasat, drůbeže nebo ovcí podle § 57 odst. 3 písm. a) nebo b) zákona o spotřebních daních (dále jen „kombinovaná živočišná výroba“),</w:t>
      </w:r>
    </w:p>
    <w:p w:rsidR="00711E63" w:rsidRDefault="00884ED6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pouze chov skotu, koní prasat, drůbeže nebo ovcí podle § 57 odst. 3 písm. b) zákona </w:t>
      </w:r>
      <w:r>
        <w:rPr>
          <w:rFonts w:ascii="Arial" w:hAnsi="Arial" w:cs="Arial"/>
        </w:rPr>
        <w:br/>
        <w:t>o sp</w:t>
      </w:r>
      <w:r>
        <w:rPr>
          <w:rFonts w:ascii="Arial" w:hAnsi="Arial" w:cs="Arial"/>
        </w:rPr>
        <w:t>otřebních daních (dále jen „čistá živočišná výroba“),</w:t>
      </w:r>
    </w:p>
    <w:p w:rsidR="00711E63" w:rsidRDefault="00884ED6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rybníkářství podle § 57 odst. 3 písm. c) zákona o spotřebních daních (dále jen „rybníkářství“). </w:t>
      </w:r>
    </w:p>
    <w:p w:rsidR="00711E63" w:rsidRDefault="00711E63">
      <w:pPr>
        <w:keepNext/>
        <w:keepLines/>
        <w:ind w:left="709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</w:rPr>
        <w:t>Nárok na vrácení spotřební daně vzniká rovněž osobám, které provádějí hospodaření v lese podle lesního z</w:t>
      </w:r>
      <w:r>
        <w:rPr>
          <w:rFonts w:cs="Arial"/>
        </w:rPr>
        <w:t xml:space="preserve">ákona.  </w:t>
      </w:r>
    </w:p>
    <w:p w:rsidR="00711E63" w:rsidRDefault="00711E63">
      <w:pPr>
        <w:keepNext/>
        <w:keepLines/>
        <w:ind w:firstLine="709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Ustanovení § 57 zákona o spotřebních daních stanoví podmínky vzniku nároku na vrácení spotřební daně osobám užívajícím vybrané minerální oleje pro zemědělskou prvovýrobu a pro provádění hospodaření v lese a následující pevné částky vrácené spotře</w:t>
      </w:r>
      <w:r>
        <w:rPr>
          <w:rFonts w:cs="Arial"/>
        </w:rPr>
        <w:t xml:space="preserve">bní daně:  </w:t>
      </w:r>
    </w:p>
    <w:p w:rsidR="00711E63" w:rsidRDefault="00884ED6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výše pevné částky vrácené spotřební daně z minerálních olejů spotřebovaných pro čistou rostlinnou výrobu, rybníkářství nebo hospodaření v lese činí 4 380 Kč/1</w:t>
      </w:r>
      <w:r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000 l nakoupených minerálních olejů uvedených v § 45 odst. 1 písm. b) (dále jen „B0“)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br/>
        <w:t>§ 45 odst. 2 písm. j) ( dále jen „B7“) a v § 45 odst. 2 písm. c) (dále jen „B30“) zákona o spotřebních daních;</w:t>
      </w:r>
    </w:p>
    <w:p w:rsidR="00711E63" w:rsidRDefault="00884ED6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výše pevné částky vrácené spotřební daně z minerálních olejů spotřebovaných v čisté živočišné výrobě činí 9 500 Kč/1</w:t>
      </w:r>
      <w:r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000 l nakoupených minerál</w:t>
      </w:r>
      <w:r>
        <w:rPr>
          <w:rFonts w:ascii="Arial" w:eastAsia="Arial" w:hAnsi="Arial" w:cs="Arial"/>
        </w:rPr>
        <w:t>ních olejů B0 nebo B7, nebo 7 000 Kč/1</w:t>
      </w:r>
      <w:r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000 l minerálních olejů B30;</w:t>
      </w:r>
    </w:p>
    <w:p w:rsidR="00711E63" w:rsidRDefault="00884ED6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výše pevné částky vrácené spotřební daně z minerálních olejů spotřebovaných pro kombinovanou živočišnou výrobu činí pro</w:t>
      </w:r>
      <w:r>
        <w:rPr>
          <w:rFonts w:ascii="Arial" w:hAnsi="Arial" w:cs="Arial"/>
        </w:rPr>
        <w:t xml:space="preserve"> osoby s intenzitou chovu do 0,2 velké dobytčí jednotky (dále jen „VD</w:t>
      </w:r>
      <w:r>
        <w:rPr>
          <w:rFonts w:ascii="Arial" w:hAnsi="Arial" w:cs="Arial"/>
        </w:rPr>
        <w:t>J“)/hektar 4 380 Kč/1 000 l nakoupených minerálních olejů B0, B7 nebo B30;</w:t>
      </w:r>
    </w:p>
    <w:p w:rsidR="00711E63" w:rsidRDefault="00884ED6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výše pevné částky vrácené spotřební daně z minerálních olejů spotřebovaných pro kombinovanou živočišnou výrobu činí pro </w:t>
      </w:r>
      <w:r>
        <w:rPr>
          <w:rFonts w:ascii="Arial" w:hAnsi="Arial" w:cs="Arial"/>
        </w:rPr>
        <w:t>osoby s intenzitou chovu nad 0,2 do 0,4 VDJ/hektar  6 940 Kč/</w:t>
      </w:r>
      <w:r>
        <w:rPr>
          <w:rFonts w:ascii="Arial" w:hAnsi="Arial" w:cs="Arial"/>
        </w:rPr>
        <w:t xml:space="preserve">1 000 l nakoupených minerálních olejů B0 nebo B7 nebo 5 690 Kč/ /1 000 l nakoupených minerálních olejů B30; </w:t>
      </w:r>
    </w:p>
    <w:p w:rsidR="00711E63" w:rsidRDefault="00884ED6">
      <w:pPr>
        <w:pStyle w:val="Odstavecseseznamem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výše pevné částky vrácené spotřební daně z minerálních olejů spotřebovaných pro kombinovanou živočišnou výrobu činí pro </w:t>
      </w:r>
      <w:r>
        <w:rPr>
          <w:rFonts w:ascii="Arial" w:hAnsi="Arial" w:cs="Arial"/>
        </w:rPr>
        <w:t xml:space="preserve">osoby s intenzitou chovu nad 0,4 VDJ/hektar  </w:t>
      </w:r>
      <w:r>
        <w:rPr>
          <w:rFonts w:ascii="Arial" w:hAnsi="Arial" w:cs="Arial"/>
        </w:rPr>
        <w:br/>
        <w:t xml:space="preserve">9 500 Kč/1 000 l nakoupených minerálních olejů B0 nebo B7 nebo 7 000 Kč/1 000 l nakoupených minerálních olejů B30. </w:t>
      </w:r>
    </w:p>
    <w:p w:rsidR="00711E63" w:rsidRDefault="00711E63">
      <w:pPr>
        <w:keepNext/>
        <w:ind w:firstLine="708"/>
        <w:jc w:val="both"/>
        <w:rPr>
          <w:rFonts w:cs="Arial"/>
        </w:rPr>
      </w:pPr>
    </w:p>
    <w:p w:rsidR="00711E63" w:rsidRDefault="00884ED6">
      <w:pPr>
        <w:keepNext/>
        <w:ind w:firstLine="708"/>
        <w:jc w:val="both"/>
        <w:rPr>
          <w:rFonts w:cs="Arial"/>
        </w:rPr>
      </w:pPr>
      <w:r>
        <w:rPr>
          <w:rFonts w:cs="Arial"/>
        </w:rPr>
        <w:t>Výše pevných částek vrácené spotřební daně z minerálních olejů spotřebovaných pro čistou živo</w:t>
      </w:r>
      <w:r>
        <w:rPr>
          <w:rFonts w:cs="Arial"/>
        </w:rPr>
        <w:t>čišnou výrobu nebo pro kombinovanou živočišnou výrobu je od 1. července 2017 do 31. prosince 2018 zákonem o spotřebních daních stanovena s přihlédnutím k intenzitě chovu hlavních druhů hospodářských zvířat s tím, že přínosy živočišné výroby nebo kombinovan</w:t>
      </w:r>
      <w:r>
        <w:rPr>
          <w:rFonts w:cs="Arial"/>
        </w:rPr>
        <w:t xml:space="preserve">é živočišné výroby pro životní prostředí v České republice jsou zohledněny ve výši pevných částek vrácené spotřební daně. </w:t>
      </w:r>
    </w:p>
    <w:p w:rsidR="00711E63" w:rsidRDefault="00711E63">
      <w:pPr>
        <w:keepNext/>
        <w:keepLines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  <w:bCs/>
        </w:rPr>
        <w:t xml:space="preserve">Způsob výpočtu nároku na vrácení spotřební daně z minerálních olejů, způsob </w:t>
      </w:r>
      <w:r>
        <w:rPr>
          <w:rFonts w:cs="Arial"/>
          <w:bCs/>
        </w:rPr>
        <w:br/>
        <w:t>a podmínky vedení dokladů a evidence a podmínky a způso</w:t>
      </w:r>
      <w:r>
        <w:rPr>
          <w:rFonts w:cs="Arial"/>
          <w:bCs/>
        </w:rPr>
        <w:t>b výpočtu a prokázání intenzity chovu hospodářských zvířat stanoví vyhláška č. 176/2017 Sb., o způsobu výpočtu nároku na vrácení spotřební daně z minerálních olejů spotřebovaných v zemědělské prvovýrobě a při provádění hospodaření v lese.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Dnem 1. ledna 20</w:t>
      </w:r>
      <w:r>
        <w:rPr>
          <w:rFonts w:cs="Arial"/>
          <w:bCs/>
        </w:rPr>
        <w:t>19 nabývá účinnosti čl. I bod 3 zákona č. 453/2016 Sb., kterým se mění zákon č. 353/2003 Sb., o spotřebních daních, ve znění pozdějších předpisů, který stanoví jednotnou výši pevných částek pro zemědělskou prvovýrobu a pro provádění hospodaření v lese ve v</w:t>
      </w:r>
      <w:r>
        <w:rPr>
          <w:rFonts w:cs="Arial"/>
          <w:bCs/>
        </w:rPr>
        <w:t xml:space="preserve">ýši 4 380 Kč/1 000 l nakoupených minerálních olejů.       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Odůvodnění hlavních principů navrhované právní úpravy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</w:rPr>
        <w:t xml:space="preserve">Návrh zákona od 1. ledna 2019 </w:t>
      </w:r>
      <w:r>
        <w:rPr>
          <w:rFonts w:cs="Arial"/>
          <w:bCs/>
        </w:rPr>
        <w:t xml:space="preserve">nahrazuje pro současné potřeby živočišné výroby </w:t>
      </w:r>
      <w:r>
        <w:rPr>
          <w:rFonts w:cs="Arial"/>
          <w:bCs/>
        </w:rPr>
        <w:br/>
        <w:t>méně vhodnou právní úpravu vrácení části spotřební daně z </w:t>
      </w:r>
      <w:r>
        <w:rPr>
          <w:rFonts w:cs="Arial"/>
          <w:bCs/>
        </w:rPr>
        <w:t xml:space="preserve">minerálních olejů uvedenou </w:t>
      </w:r>
      <w:r>
        <w:rPr>
          <w:rFonts w:cs="Arial"/>
          <w:bCs/>
        </w:rPr>
        <w:br/>
        <w:t xml:space="preserve">v čl. I bodě 3 zákona č. 453/2016 Sb. 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 xml:space="preserve">Cílem návrhu zákona je zachovat i po 1. lednu 2019 současnou právní úpravu </w:t>
      </w:r>
      <w:r>
        <w:rPr>
          <w:rFonts w:cs="Arial"/>
        </w:rPr>
        <w:br/>
        <w:t>§ 57 zákona o spotřebních daních, účinnou od 1. července 2017 do 31. prosince 2018,</w:t>
      </w:r>
      <w:r>
        <w:rPr>
          <w:rFonts w:cs="Arial"/>
        </w:rPr>
        <w:br/>
        <w:t>tj. zachovat zvýšenou intenz</w:t>
      </w:r>
      <w:r>
        <w:rPr>
          <w:rFonts w:cs="Arial"/>
        </w:rPr>
        <w:t xml:space="preserve">itu podpory čisté živočišné výroby a kombinované živočišné výroby. 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Návrh zákona se předkládá z důvodu účelného podpoření udržení dosavadního stavu počtu chovaných hospodářských zvířat, případně i dosažení žádoucího zvýšení počtu chovaných hospodářských z</w:t>
      </w:r>
      <w:r>
        <w:rPr>
          <w:rFonts w:cs="Arial"/>
        </w:rPr>
        <w:t>vířat České republice v příštích letech a jejich přínosu pro životní prostředí v České republice (např. ke zlepšení kvality půdy), s cílem zlepšit ekonomickou situaci chovatelů hospodářských zvířat.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V realizačních cenách živočišných komodit se stále vysky</w:t>
      </w:r>
      <w:r>
        <w:rPr>
          <w:rFonts w:cs="Arial"/>
        </w:rPr>
        <w:t>tují turbulentní výkyvy cen zemědělských výrobců zejména u komodit v chovu prasat a drůbeže. Situace se pravidelně či nepravidelně na základě globálních vlivů opakuje a projevuje u většiny druhů a kategorií hospodářských zvířat. Ztrátu na výrobě způsobenou</w:t>
      </w:r>
      <w:r>
        <w:rPr>
          <w:rFonts w:cs="Arial"/>
        </w:rPr>
        <w:t xml:space="preserve"> nízkou realizační cenou se chovatelé snaží kompenzovat snižováním výrobních nákladů či již zmíněným snižováním počtu chovaných hospodářských zvířat, aby ztrátovost této produkce dosahovala nižších rozměrů.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 xml:space="preserve">Základní podpora chovatelů hospodářských zvířat </w:t>
      </w:r>
      <w:r>
        <w:rPr>
          <w:rFonts w:cs="Arial"/>
        </w:rPr>
        <w:t>je v České republice prováděna dotačním systémem, kde je chovatelům částečně kompenzována nerentabilita chovu určitých druhů a kategorií hospodářských zvířat. Jedná se o dotace jak z evropských zdrojů, tak národní dotace, které jsou v současné době odůvodn</w:t>
      </w:r>
      <w:r>
        <w:rPr>
          <w:rFonts w:cs="Arial"/>
        </w:rPr>
        <w:t>ěně více směrovány na podporu chovu hospodářských zvířat, než tomu bylo v minulosti.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Podpora snížení výrobních nákladů na chov hospodářských zvířat vrácením části spotřební daně a tím zachování počtu chovaných kusů vychází také zejména z toho, že nízké po</w:t>
      </w:r>
      <w:r>
        <w:rPr>
          <w:rFonts w:cs="Arial"/>
        </w:rPr>
        <w:t>čty chovaných hospodářských zvířat mají díky nižší potřebě pícnin a dalších rostlinných krmiv a tím nižší produkci statkových hnojiv velmi negativní vliv na vývoj struktury půdy včetně obsahu humusu v ní obsaženého. Následkem nízké produkce pícnin a nízkéh</w:t>
      </w:r>
      <w:r>
        <w:rPr>
          <w:rFonts w:cs="Arial"/>
        </w:rPr>
        <w:t>o obsahu humusu v půdě jsou způsobovány různé eroze půdy a velmi časté lokální či rozsáhlé</w:t>
      </w:r>
    </w:p>
    <w:p w:rsidR="00711E63" w:rsidRDefault="00884ED6">
      <w:pPr>
        <w:keepNext/>
        <w:keepLines/>
        <w:jc w:val="both"/>
        <w:rPr>
          <w:rFonts w:cs="Arial"/>
        </w:rPr>
      </w:pPr>
      <w:r>
        <w:rPr>
          <w:rFonts w:cs="Arial"/>
        </w:rPr>
        <w:t xml:space="preserve">záplavy, které jsou důsledkem toho, že půda má nízkou jímací schopnosti vody. Rozměr chovu hospodářských zvířat a s ním spojená produkce pícnin a dalších krmiv či </w:t>
      </w:r>
      <w:r>
        <w:rPr>
          <w:rFonts w:cs="Arial"/>
        </w:rPr>
        <w:t>provozování pastvy přežvýkavců má v komplexním pojetí ochrany přírody a ovzduší své nezastupitelné místo. Existují i další sociální dopady do života obyvatelstva ve venkovských oblastech, kde chybí chov hospodářských zvířat, nebo byl v politice minulých mn</w:t>
      </w:r>
      <w:r>
        <w:rPr>
          <w:rFonts w:cs="Arial"/>
        </w:rPr>
        <w:t>oha let značně omezován. Jedná se zejména o zajištění zaměstnanosti přímo v menších obcích a větší přidané hodnoty v hospodářství tamtéž. Uchování živočišné prvovýroby zajišťuje rovněž rozvoj zaměstnanosti v mnoha dalších návazných výrobních odvětvích spoj</w:t>
      </w:r>
      <w:r>
        <w:rPr>
          <w:rFonts w:cs="Arial"/>
        </w:rPr>
        <w:t>ených s chovem hospodářských zvířat jak po stránce dodavatelské tak i odběratelské.</w:t>
      </w: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V současné době jsou v České republice hospodářská zvířata chována v tak malém objemu, že výše uvedené negativní aspekty nabývají na stále větším významu. Podpora jejich c</w:t>
      </w:r>
      <w:r>
        <w:rPr>
          <w:rFonts w:cs="Arial"/>
        </w:rPr>
        <w:t>hovu vrácením části spotřební daně za motorovou naftu je tak nepřímou podporou omezování uvedených negativních vlivů, které se ve státním rozpočtu v mnohem větší míře promítnou v jiných oblastech, které omezují výdaje či zvyšují jeho příjmy.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Vrácení části</w:t>
      </w:r>
      <w:r>
        <w:rPr>
          <w:rFonts w:cs="Arial"/>
        </w:rPr>
        <w:t xml:space="preserve"> spotřební daně chovatelům hospodářských zvířat zlepšuje rentabilitu jejich chovu faktickým snížením celkových vynaložených nákladů, kde náklady na pohonné hmoty a energie dle jednotlivých druhů a kategorií hospodářských zvířat jsou v průměru po nákladech </w:t>
      </w:r>
      <w:r>
        <w:rPr>
          <w:rFonts w:cs="Arial"/>
        </w:rPr>
        <w:t>na krmiva a osobních nákladech třetím nejvyšším nákladem.</w:t>
      </w:r>
    </w:p>
    <w:p w:rsidR="00711E63" w:rsidRDefault="00711E63">
      <w:pPr>
        <w:keepNext/>
        <w:keepLines/>
        <w:rPr>
          <w:rFonts w:ascii="ArialMT" w:hAnsi="ArialMT" w:cs="ArialMT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Možným zdrojem snižování výrobních nákladů jsou náklady na krmiva, které představují nejvyšší podíl na celkových nákladech. Dle výrobních podmínek jednotlivých chovů a kategorií hospodářských zvířat to činí 40 až 60 % z celkových nákladů. Omezené poskytová</w:t>
      </w:r>
      <w:r>
        <w:rPr>
          <w:rFonts w:cs="Arial"/>
        </w:rPr>
        <w:t xml:space="preserve">ní krmiv v objemu, složení či kvalitě se však následně projevuje ve zhoršení </w:t>
      </w:r>
      <w:r>
        <w:rPr>
          <w:rFonts w:cs="Arial"/>
        </w:rPr>
        <w:br/>
        <w:t>a snížení nejen užitkovosti, ale i reprodukce zvířat a ohrožení jejich zdravotního stavu při užitkovosti, ke které jsou vyšlechtěna. Což s sebou v důsledku paradoxně nese nejen s</w:t>
      </w:r>
      <w:r>
        <w:rPr>
          <w:rFonts w:cs="Arial"/>
        </w:rPr>
        <w:t>nížení produkce, ale i zvýšení nerentability.</w:t>
      </w:r>
    </w:p>
    <w:p w:rsidR="00711E63" w:rsidRDefault="00711E63">
      <w:pPr>
        <w:keepNext/>
        <w:keepLines/>
        <w:ind w:firstLine="708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  <w:bCs/>
        </w:rPr>
        <w:t>Dalším zdrojem snižování nákladů</w:t>
      </w:r>
      <w:r>
        <w:rPr>
          <w:rFonts w:cs="Arial"/>
        </w:rPr>
        <w:t xml:space="preserve"> na chov hospodářských zvířat jsou náklady na energie, kde pohonné hmoty – zejména motorová nafta, zaujímá podstatnou část. Chov hospodářských zvířat ve značné míře motorovou na</w:t>
      </w:r>
      <w:r>
        <w:rPr>
          <w:rFonts w:cs="Arial"/>
        </w:rPr>
        <w:t xml:space="preserve">ftu spotřebovává zejména na traktorové práce nebo práci samochodných specializovaných strojů na farmách a objektech živočišné výroby. Tyto práce a činnosti zahrnují zejména dopravu krmiv a steliv ze skladovacích </w:t>
      </w:r>
      <w:r>
        <w:rPr>
          <w:rFonts w:cs="Arial"/>
        </w:rPr>
        <w:br/>
        <w:t>a úložných prostor na jednotlivé objekty ne</w:t>
      </w:r>
      <w:r>
        <w:rPr>
          <w:rFonts w:cs="Arial"/>
        </w:rPr>
        <w:t>bo pastviny chovu hospodářských zvířat a odvoz statkových hnojiv z těchto objektů na jejich úložiště. Dále na traktorové práci nebo provozu samochodných specializovaných strojů je závislá příprava a zakládání krmiv včetně sklízení zeleného krmení k přímé s</w:t>
      </w:r>
      <w:r>
        <w:rPr>
          <w:rFonts w:cs="Arial"/>
        </w:rPr>
        <w:t>potřebě a následně vyhrnování a odstraňování tuhých či tekutých výkalů a podestýlek z objektů chovu hospodářských zvířat. Přeprava hospodářských zvířat mezi hospodářstvími či pastvinami je také zcela běžným nákladem na jejich chov vykazující spotřebu motor</w:t>
      </w:r>
      <w:r>
        <w:rPr>
          <w:rFonts w:cs="Arial"/>
        </w:rPr>
        <w:t>ové nafty. V neposlední řadě je na motorové naftě závislý chod mobilních zdrojů elektrické energie v případě nedostupnosti elektrické energie z rozvodné sítě, například na pastvinách nebo záložních zdrojů pro případ výpadku dodávky elektrické energie a ohr</w:t>
      </w:r>
      <w:r>
        <w:rPr>
          <w:rFonts w:cs="Arial"/>
        </w:rPr>
        <w:t>ožení života či zdraví chovaných zvířat.</w:t>
      </w:r>
    </w:p>
    <w:p w:rsidR="00711E63" w:rsidRDefault="00711E63">
      <w:pPr>
        <w:keepNext/>
        <w:keepLines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U nákladové položky „motorová nafta“ nárok na vrácení části spotřební daně významně sníží celkové náklady na jednotku produkce nebo krmný den chovaných hospodářských zvířat.</w:t>
      </w:r>
    </w:p>
    <w:p w:rsidR="00711E63" w:rsidRDefault="00711E63">
      <w:pPr>
        <w:keepNext/>
        <w:keepLines/>
        <w:ind w:firstLine="708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Návrh zákona nemá dopad ve vztahu k zák</w:t>
      </w:r>
      <w:r>
        <w:rPr>
          <w:rFonts w:cs="Arial"/>
          <w:bCs/>
        </w:rPr>
        <w:t>azu diskriminace.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 Vysvětlení nezbytnosti navrhované právní úpravy</w:t>
      </w:r>
    </w:p>
    <w:p w:rsidR="00711E63" w:rsidRDefault="00711E63">
      <w:pPr>
        <w:keepNext/>
        <w:keepLines/>
        <w:ind w:firstLine="709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 xml:space="preserve">Cílem návrhu zákona je zachovat po 1. lednu 2019 zvýšenou intenzitu podpory čisté živočišné výroby a kombinované živočišné výroby formou vrácení části spotřební daně. </w:t>
      </w:r>
    </w:p>
    <w:p w:rsidR="00711E63" w:rsidRDefault="00711E63">
      <w:pPr>
        <w:keepNext/>
        <w:keepLines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Návrh zákona</w:t>
      </w:r>
      <w:r>
        <w:rPr>
          <w:rFonts w:cs="Arial"/>
        </w:rPr>
        <w:t xml:space="preserve"> účelně podpoří v příštích letech udržení dosavadního stavu počtu chovaných hospodářských zvířat v České republice, případně i dosažení žádoucího zvýšení jejich počtu, včetně jejich přínosu pro životní prostředí v České republice.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Návrh zákona přispěje ke</w:t>
      </w:r>
      <w:r>
        <w:rPr>
          <w:rFonts w:cs="Arial"/>
        </w:rPr>
        <w:t xml:space="preserve"> zlepšení životního prostředí (zejména kvality půdy) v České republice, zlepší ekonomickou situaci chovatelů hospodářských zvířat, zvýší rentabilitu chovu hospodářských zvířat a bude mít i pozitivní sociální dopad do života obyvatel venkova v České republi</w:t>
      </w:r>
      <w:r>
        <w:rPr>
          <w:rFonts w:cs="Arial"/>
        </w:rPr>
        <w:t xml:space="preserve">ce.  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4. Zhodnocení souladu navrhované právní úpravy s ústavním pořádkem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Navrhovaná právní úprava je plně v souladu s ústavním pořádkem České republiky </w:t>
      </w:r>
      <w:r>
        <w:rPr>
          <w:rFonts w:cs="Arial"/>
          <w:bCs/>
        </w:rPr>
        <w:br/>
        <w:t xml:space="preserve">a garantuje dodržování základních lidských práv a svobod. 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left="284" w:hanging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 Zhodnocení slučitelnosti navrhované </w:t>
      </w:r>
      <w:r>
        <w:rPr>
          <w:rFonts w:cs="Arial"/>
          <w:b/>
          <w:bCs/>
        </w:rPr>
        <w:t>právní úpravy se závazky vyplývajícími pro Českou republiku z jejího členství v Evropské unii</w:t>
      </w:r>
    </w:p>
    <w:p w:rsidR="00711E63" w:rsidRDefault="00711E63">
      <w:pPr>
        <w:keepNext/>
        <w:keepLines/>
        <w:ind w:firstLine="708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  <w:bCs/>
        </w:rPr>
        <w:t>Poskytování vratky spotřební daně z minerálních olejů spotřebovaných v zemědělské prvovýrobě a při provádění hospodaření v lese je veřejnou podporou, na kterou s</w:t>
      </w:r>
      <w:r>
        <w:rPr>
          <w:rFonts w:cs="Arial"/>
          <w:bCs/>
        </w:rPr>
        <w:t xml:space="preserve">e uplatňují následující předpisy </w:t>
      </w:r>
      <w:r>
        <w:rPr>
          <w:rFonts w:cs="Arial"/>
        </w:rPr>
        <w:t>Evropské unie:</w:t>
      </w:r>
    </w:p>
    <w:p w:rsidR="00711E63" w:rsidRDefault="00884ED6">
      <w:pPr>
        <w:keepNext/>
        <w:keepLines/>
        <w:numPr>
          <w:ilvl w:val="1"/>
          <w:numId w:val="3"/>
        </w:numPr>
        <w:ind w:left="284" w:hanging="284"/>
        <w:jc w:val="both"/>
        <w:rPr>
          <w:rFonts w:cs="Arial"/>
        </w:rPr>
      </w:pPr>
      <w:r>
        <w:rPr>
          <w:rFonts w:cs="Arial"/>
        </w:rPr>
        <w:t>Článek 107 a 108 Smlouvy o fungování Evropské unie.</w:t>
      </w:r>
    </w:p>
    <w:p w:rsidR="00711E63" w:rsidRDefault="00884ED6">
      <w:pPr>
        <w:keepNext/>
        <w:keepLines/>
        <w:numPr>
          <w:ilvl w:val="1"/>
          <w:numId w:val="3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Nařízení Komise (EU) č. 651/2014 </w:t>
      </w:r>
      <w:r>
        <w:rPr>
          <w:rFonts w:cs="Arial"/>
          <w:bCs/>
        </w:rPr>
        <w:t xml:space="preserve">ze dne 17. června 2014, kterým se v souladu s články 107 a 108 Smlouvy prohlašují určité kategorie podpory za slučitelné s </w:t>
      </w:r>
      <w:r>
        <w:rPr>
          <w:rFonts w:cs="Arial"/>
          <w:bCs/>
        </w:rPr>
        <w:t>vnitřním trhem ve znění Nařízení Komise (EU) č. 2017/1084 ze dne 14. června 2017, kterým se mění nařízení (EU) č. 651/2014, pokud jde o podporu na přístavní a letištní infrastrukturu, prahové hodnoty oznamovací povinnosti pro podporu na kulturu a zachování</w:t>
      </w:r>
      <w:r>
        <w:rPr>
          <w:rFonts w:cs="Arial"/>
          <w:bCs/>
        </w:rPr>
        <w:t xml:space="preserve"> kulturního dědictví a pro podporu na sportovní a multifunkční rekreační infrastrukturu a režimy regionální provozní podpory pro nejvzdálenější regiony, a mění se nařízení (EU) </w:t>
      </w:r>
      <w:r>
        <w:rPr>
          <w:rFonts w:cs="Arial"/>
          <w:bCs/>
        </w:rPr>
        <w:br/>
        <w:t>č. 702/2014, pokud jde o výpočet způsobilých nákladů („GBER“).</w:t>
      </w:r>
    </w:p>
    <w:p w:rsidR="00711E63" w:rsidRDefault="00884ED6">
      <w:pPr>
        <w:keepNext/>
        <w:keepLines/>
        <w:numPr>
          <w:ilvl w:val="1"/>
          <w:numId w:val="3"/>
        </w:numPr>
        <w:ind w:left="284" w:hanging="284"/>
        <w:jc w:val="both"/>
        <w:rPr>
          <w:rFonts w:cs="Arial"/>
        </w:rPr>
      </w:pPr>
      <w:r>
        <w:rPr>
          <w:rFonts w:cs="Arial"/>
          <w:bCs/>
        </w:rPr>
        <w:t>Nařízení Komise</w:t>
      </w:r>
      <w:r>
        <w:rPr>
          <w:rFonts w:cs="Arial"/>
          <w:bCs/>
        </w:rPr>
        <w:t xml:space="preserve"> (EU) </w:t>
      </w:r>
      <w:r>
        <w:rPr>
          <w:rFonts w:eastAsia="SimSun" w:cs="Arial"/>
          <w:color w:val="00000A"/>
        </w:rPr>
        <w:t xml:space="preserve">č. 1388/2014 ze dne 16. prosince 2014, kterým se určité kategorie podpory pro podniky působící v oblasti produkce, zpracování a uvádění produktů rybolovu </w:t>
      </w:r>
      <w:r>
        <w:rPr>
          <w:rFonts w:eastAsia="SimSun" w:cs="Arial"/>
          <w:color w:val="00000A"/>
        </w:rPr>
        <w:br/>
        <w:t>a akvakultury na trh prohlašují za slučitelné s vnitřním trhem podle článků 107 a 108 Smlouvy o</w:t>
      </w:r>
      <w:r>
        <w:rPr>
          <w:rFonts w:eastAsia="SimSun" w:cs="Arial"/>
          <w:color w:val="00000A"/>
        </w:rPr>
        <w:t xml:space="preserve"> fungování Evropské unie („FBER“).</w:t>
      </w:r>
    </w:p>
    <w:p w:rsidR="00711E63" w:rsidRDefault="00884ED6">
      <w:pPr>
        <w:keepNext/>
        <w:keepLines/>
        <w:numPr>
          <w:ilvl w:val="1"/>
          <w:numId w:val="3"/>
        </w:numPr>
        <w:ind w:left="284" w:hanging="284"/>
        <w:jc w:val="both"/>
        <w:rPr>
          <w:rFonts w:cs="Arial"/>
        </w:rPr>
      </w:pPr>
      <w:r>
        <w:rPr>
          <w:rFonts w:eastAsia="SimSun" w:cs="Arial"/>
          <w:color w:val="00000A"/>
        </w:rPr>
        <w:t xml:space="preserve">Sdělení Evropské komise - Pokyny pro posuzování státní podpory v odvětví rybolovu </w:t>
      </w:r>
      <w:r>
        <w:rPr>
          <w:rFonts w:eastAsia="SimSun" w:cs="Arial"/>
          <w:color w:val="00000A"/>
        </w:rPr>
        <w:br/>
        <w:t>a akvakultury (2015/C 217/01).</w:t>
      </w:r>
    </w:p>
    <w:p w:rsidR="00711E63" w:rsidRDefault="00884ED6">
      <w:pPr>
        <w:keepNext/>
        <w:keepLines/>
        <w:numPr>
          <w:ilvl w:val="1"/>
          <w:numId w:val="3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Směrnice Rady 2003/96/ES ze dne 27. října 2003, kterou se mění struktura rámcových předpisů Společenství o </w:t>
      </w:r>
      <w:r>
        <w:rPr>
          <w:rFonts w:cs="Arial"/>
        </w:rPr>
        <w:t>zdanění energetických produktů a elektřiny.</w:t>
      </w:r>
    </w:p>
    <w:p w:rsidR="00711E63" w:rsidRDefault="00711E63">
      <w:pPr>
        <w:keepNext/>
        <w:keepLines/>
        <w:ind w:firstLine="709"/>
        <w:rPr>
          <w:rFonts w:cs="Arial"/>
          <w:shd w:val="clear" w:color="auto" w:fill="FFFF00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Navrhovaná právní úprava je slučitelná s výše uvedenými předpisy Evropské unie.</w:t>
      </w:r>
    </w:p>
    <w:p w:rsidR="00711E63" w:rsidRDefault="00711E63">
      <w:pPr>
        <w:keepNext/>
        <w:keepLines/>
        <w:ind w:firstLine="709"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>Problematiky vratky spotřebních daní z minerálních olejů zaplacených v cenách některých minerálních olejů spotřebovaných pro čisto</w:t>
      </w:r>
      <w:r>
        <w:rPr>
          <w:rFonts w:cs="Arial"/>
        </w:rPr>
        <w:t>u rostlinnou výrobu, pro čistou živočišnou výrobu, pro kombinovanou živočišnou výrobu, pro rybníkářství nebo pro hospodaření v lese se týkají blokové výjimky GBER č. SA.47430 (2017/X) a FBER</w:t>
      </w:r>
      <w:r>
        <w:rPr>
          <w:rFonts w:cs="Arial"/>
        </w:rPr>
        <w:br/>
        <w:t xml:space="preserve"> č. SA.47415 (2017/X) a</w:t>
      </w:r>
      <w:r>
        <w:rPr>
          <w:rFonts w:cs="Arial"/>
          <w:iCs/>
          <w:color w:val="000000"/>
        </w:rPr>
        <w:t xml:space="preserve"> v současné době běžící notifikační proced</w:t>
      </w:r>
      <w:r>
        <w:rPr>
          <w:rFonts w:cs="Arial"/>
          <w:iCs/>
          <w:color w:val="000000"/>
        </w:rPr>
        <w:t>ura</w:t>
      </w:r>
      <w:r>
        <w:rPr>
          <w:rFonts w:cs="Arial"/>
          <w:color w:val="000000"/>
        </w:rPr>
        <w:t xml:space="preserve"> </w:t>
      </w:r>
      <w:r>
        <w:rPr>
          <w:rFonts w:cs="Arial"/>
          <w:iCs/>
          <w:color w:val="000000"/>
        </w:rPr>
        <w:t>režimu podpory týkajícího se vrácení části spotřební daně z minerálních olejů spotřebovaných v rybníkářství pod označením SA.49037 (2017/N).</w:t>
      </w:r>
      <w:r>
        <w:rPr>
          <w:rFonts w:cs="Arial"/>
        </w:rPr>
        <w:t xml:space="preserve"> </w:t>
      </w:r>
    </w:p>
    <w:p w:rsidR="00711E63" w:rsidRDefault="00884ED6">
      <w:pPr>
        <w:keepNext/>
        <w:keepLines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711E63" w:rsidRDefault="00884ED6">
      <w:pPr>
        <w:keepNext/>
        <w:keepLines/>
        <w:ind w:firstLine="709"/>
        <w:jc w:val="both"/>
        <w:rPr>
          <w:rFonts w:cs="Arial"/>
        </w:rPr>
      </w:pPr>
      <w:r>
        <w:rPr>
          <w:rFonts w:cs="Arial"/>
        </w:rPr>
        <w:t xml:space="preserve">Platná vyhláška č. 176/2017 Sb., o způsobu výpočtu nároku na vrácení spotřební daně z minerálních olejů </w:t>
      </w:r>
      <w:r>
        <w:rPr>
          <w:rFonts w:cs="Arial"/>
        </w:rPr>
        <w:t>spotřebovaných v zemědělské prvovýrobě a při provádění v lese,</w:t>
      </w:r>
      <w:r>
        <w:rPr>
          <w:rFonts w:cs="Arial"/>
        </w:rPr>
        <w:br/>
        <w:t xml:space="preserve">v souladu s výše uvedenými předpisy Evropské unie, rovněž vylučuje vrácení spotřební daně </w:t>
      </w:r>
      <w:r>
        <w:rPr>
          <w:rFonts w:cs="Arial"/>
        </w:rPr>
        <w:br/>
        <w:t>u biopaliv</w:t>
      </w:r>
      <w:r>
        <w:rPr>
          <w:rFonts w:eastAsia="SimSun" w:cs="Arial"/>
          <w:color w:val="00000A"/>
        </w:rPr>
        <w:t>, na něž se vztahují povinné dodávky nebo povinné přimíchávání nebo se zajišťuje dodržení po</w:t>
      </w:r>
      <w:r>
        <w:rPr>
          <w:rFonts w:eastAsia="SimSun" w:cs="Arial"/>
          <w:color w:val="00000A"/>
        </w:rPr>
        <w:t xml:space="preserve">dmínky minimálního zdanění minerálních olejů.  </w:t>
      </w: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884ED6">
      <w:pPr>
        <w:keepNext/>
        <w:keepLines/>
        <w:ind w:left="284" w:hanging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6. Zhodnocení souladu navrhované právní úpravy s mezinárodními smlouvami, jimiž je Česká republika vázána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  <w:bCs/>
          <w:i/>
          <w:color w:val="FF0000"/>
        </w:rPr>
      </w:pPr>
      <w:r>
        <w:rPr>
          <w:rFonts w:cs="Arial"/>
          <w:bCs/>
        </w:rPr>
        <w:t>Navrhovaná právní úprava zajišťuje plnění všech závazků, které se na upravovanou oblast vztahují a které vyplývají pro Českou republiku z mezinárodních smluv a dalších dokumentů. Lze konstatovat, že navrhovaná právní úprava je plně v souladu s mezinárodním</w:t>
      </w:r>
      <w:r>
        <w:rPr>
          <w:rFonts w:cs="Arial"/>
          <w:bCs/>
        </w:rPr>
        <w:t xml:space="preserve">i smlouvami, jimiž je Česká republika vázána. 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 Předpokládaný hospodářský a finanční dopad navrhované právní úpravy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Z navrhované právní úpravy nevyplývá zvýšení nároků na státní rozpočet ani ostatní veřejné rozpočty. Od roku 2019 však nebude realizová</w:t>
      </w:r>
      <w:r>
        <w:rPr>
          <w:rFonts w:cs="Arial"/>
          <w:bCs/>
        </w:rPr>
        <w:t xml:space="preserve">no snížení vrácené spotřební daně z minerálních olejů spotřebovaných v živočišné výrobě v předpokládané roční výši cca 250 mil. Kč.  </w:t>
      </w:r>
    </w:p>
    <w:p w:rsidR="00711E63" w:rsidRDefault="00711E63">
      <w:pPr>
        <w:keepNext/>
        <w:keepLines/>
        <w:ind w:firstLine="709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Navrhovaná právní úprava sníží ve výše uvedené výši náklady zemědělských podnikatelů v živočišné výrobě. 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left="284" w:hanging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Zhodnocení</w:t>
      </w:r>
      <w:r>
        <w:rPr>
          <w:rFonts w:cs="Arial"/>
          <w:b/>
          <w:bCs/>
        </w:rPr>
        <w:t xml:space="preserve"> dopadu navrhovaného řešení ve vztahu k ochraně soukromí a osobních údajů</w:t>
      </w:r>
    </w:p>
    <w:p w:rsidR="00711E63" w:rsidRDefault="00711E63">
      <w:pPr>
        <w:keepNext/>
        <w:keepLines/>
        <w:rPr>
          <w:rFonts w:ascii="TimesNewRomanPSMT" w:hAnsi="TimesNewRomanPSMT" w:cs="TimesNewRomanPSMT"/>
          <w:sz w:val="24"/>
          <w:szCs w:val="24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</w:rPr>
        <w:t xml:space="preserve">Navrhovaná právní úprava je v souladu s ochranou soukromí a osobních údajů. </w:t>
      </w:r>
      <w:r>
        <w:rPr>
          <w:rFonts w:cs="Arial"/>
        </w:rPr>
        <w:br/>
        <w:t xml:space="preserve">K tomuto lze uvést, že při správě daní se uplatňuje zásada neveřejnosti. Informace </w:t>
      </w:r>
      <w:r>
        <w:rPr>
          <w:rFonts w:cs="Arial"/>
        </w:rPr>
        <w:br/>
        <w:t xml:space="preserve">o poměrech daňových </w:t>
      </w:r>
      <w:r>
        <w:rPr>
          <w:rFonts w:cs="Arial"/>
        </w:rPr>
        <w:t>subjektů jsou tak chráněny povinností mlčenlivosti pod hrozbou pokuty do výše 500 000 Kč a nemohou být zpřístupněny veřejnosti.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9. Zhodnocení korupčních rizik navrhovaného řešení (CIA)</w:t>
      </w: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884ED6">
      <w:pPr>
        <w:keepNext/>
        <w:keepLines/>
        <w:ind w:firstLine="709"/>
        <w:rPr>
          <w:rFonts w:cs="Arial"/>
          <w:spacing w:val="-4"/>
        </w:rPr>
      </w:pPr>
      <w:r>
        <w:rPr>
          <w:rFonts w:cs="Arial"/>
          <w:spacing w:val="-4"/>
        </w:rPr>
        <w:t xml:space="preserve">Předkládaná právní úprava neobsahuje ustanovení, která by byla </w:t>
      </w:r>
      <w:r>
        <w:rPr>
          <w:rFonts w:cs="Arial"/>
          <w:spacing w:val="-4"/>
        </w:rPr>
        <w:t>předmětem korupčního rizika.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10. Zhodnocení dopadů na bezpečnost nebo obranu státu</w:t>
      </w:r>
    </w:p>
    <w:p w:rsidR="00711E63" w:rsidRDefault="00711E63">
      <w:pPr>
        <w:keepNext/>
        <w:keepLines/>
        <w:jc w:val="both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</w:rPr>
        <w:t>Navrhovaná právní úprava nemá dopad na bezpečnost nebo obranu státu.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11. Odůvodnění návrhu, aby Poslanecká sněmovna vyslovila souhlas s návrhem zákona již v prvém čtení</w:t>
      </w:r>
      <w:r>
        <w:rPr>
          <w:rFonts w:cs="Arial"/>
          <w:b/>
          <w:bCs/>
        </w:rPr>
        <w:t xml:space="preserve"> </w:t>
      </w:r>
    </w:p>
    <w:p w:rsidR="00711E63" w:rsidRDefault="00884ED6">
      <w:pPr>
        <w:keepNext/>
        <w:keepLines/>
        <w:ind w:left="426" w:hanging="426"/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       </w:t>
      </w:r>
    </w:p>
    <w:p w:rsidR="00711E63" w:rsidRDefault="00884ED6">
      <w:pPr>
        <w:keepNext/>
        <w:keepLines/>
        <w:ind w:firstLine="708"/>
        <w:jc w:val="both"/>
        <w:rPr>
          <w:rFonts w:cs="Arial"/>
        </w:rPr>
      </w:pPr>
      <w:r>
        <w:rPr>
          <w:rFonts w:cs="Arial"/>
        </w:rPr>
        <w:t xml:space="preserve">Navrhuje se, aby podle § 90 odst. 2 zákona č. 90/1995 Sb., o jednacím řádu Poslanecké sněmovny, ve znění pozdějších předpisů, Poslanecká sněmovna s návrhem zákona vyslovila souhlas již v prvém čtení. </w:t>
      </w:r>
    </w:p>
    <w:p w:rsidR="00711E63" w:rsidRDefault="00711E63">
      <w:pPr>
        <w:keepNext/>
        <w:keepLines/>
        <w:ind w:firstLine="708"/>
        <w:jc w:val="both"/>
        <w:rPr>
          <w:rFonts w:cs="Arial"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</w:rPr>
        <w:t>Důvodem pro tento postup je to, že navrhovan</w:t>
      </w:r>
      <w:r>
        <w:rPr>
          <w:rFonts w:cs="Arial"/>
        </w:rPr>
        <w:t xml:space="preserve">ý zákon musí nabýt účinnosti nejpozději k 1. 1. 2019, tj. tak, aby nenabyla účinnosti právní úprava uvedené v čl. I bodu 3 </w:t>
      </w:r>
      <w:r>
        <w:rPr>
          <w:rFonts w:cs="Arial"/>
          <w:bCs/>
        </w:rPr>
        <w:t xml:space="preserve">zákona č. 453/2016 Sb., kterým se mění zákon č. 353/2003 Sb., o spotřebních daních, ve znění pozdějších předpisů. </w:t>
      </w:r>
    </w:p>
    <w:p w:rsidR="00711E63" w:rsidRDefault="00711E63">
      <w:pPr>
        <w:keepNext/>
        <w:keepLines/>
        <w:jc w:val="center"/>
        <w:rPr>
          <w:rFonts w:cs="Arial"/>
          <w:b/>
          <w:bCs/>
        </w:rPr>
      </w:pPr>
    </w:p>
    <w:p w:rsidR="00711E63" w:rsidRDefault="00711E63">
      <w:pPr>
        <w:keepNext/>
        <w:keepLines/>
        <w:jc w:val="center"/>
        <w:rPr>
          <w:rFonts w:cs="Arial"/>
          <w:b/>
          <w:bCs/>
        </w:rPr>
      </w:pPr>
    </w:p>
    <w:p w:rsidR="00711E63" w:rsidRDefault="00884ED6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II. Zvláštní čás</w:t>
      </w:r>
      <w:r>
        <w:rPr>
          <w:rFonts w:cs="Arial"/>
          <w:b/>
          <w:bCs/>
        </w:rPr>
        <w:t>t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 čl. I</w:t>
      </w:r>
    </w:p>
    <w:p w:rsidR="00711E63" w:rsidRDefault="00711E63">
      <w:pPr>
        <w:keepNext/>
        <w:keepLines/>
        <w:jc w:val="both"/>
        <w:rPr>
          <w:rFonts w:cs="Arial"/>
          <w:bCs/>
          <w:i/>
          <w:color w:val="FF0000"/>
        </w:rPr>
      </w:pPr>
    </w:p>
    <w:p w:rsidR="00711E63" w:rsidRDefault="00884ED6">
      <w:pPr>
        <w:keepNext/>
        <w:keepLines/>
        <w:ind w:firstLine="709"/>
        <w:jc w:val="both"/>
      </w:pPr>
      <w:r>
        <w:rPr>
          <w:rFonts w:cs="Arial"/>
        </w:rPr>
        <w:t>Návrh zákona zachovává i po 1. lednu 2019 zvýšenou intenzitu podpory čisté živočišné výroby a kombinované živočišné výroby formou vrácení části spotřební daně z minerálních olejů při nich spotřebovaných při zohlednění přínosů živočišné výroby p</w:t>
      </w:r>
      <w:r>
        <w:rPr>
          <w:rFonts w:cs="Arial"/>
        </w:rPr>
        <w:t>ro životní prostředí v České republice.  Současně umožňuje stanovit vratku</w:t>
      </w:r>
      <w:r>
        <w:t xml:space="preserve"> spotřební daně z minerálních olejů spotřebovaných v kombinované živočišné výrobě s přihlédnutím </w:t>
      </w:r>
      <w:r>
        <w:br/>
        <w:t xml:space="preserve">k intenzitě chovu hlavních druhů hospodářských zvířat. </w:t>
      </w:r>
    </w:p>
    <w:p w:rsidR="00711E63" w:rsidRDefault="00711E63">
      <w:pPr>
        <w:keepNext/>
        <w:keepLines/>
        <w:ind w:firstLine="709"/>
        <w:jc w:val="both"/>
      </w:pPr>
    </w:p>
    <w:p w:rsidR="00711E63" w:rsidRDefault="00884ED6">
      <w:pPr>
        <w:keepNext/>
        <w:keepLine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 čl. II – účinnost</w:t>
      </w:r>
    </w:p>
    <w:p w:rsidR="00711E63" w:rsidRDefault="00711E63">
      <w:pPr>
        <w:keepNext/>
        <w:keepLines/>
        <w:jc w:val="both"/>
        <w:rPr>
          <w:rFonts w:cs="Arial"/>
          <w:b/>
          <w:bCs/>
        </w:rPr>
      </w:pPr>
    </w:p>
    <w:p w:rsidR="00711E63" w:rsidRDefault="00884ED6">
      <w:pPr>
        <w:keepNext/>
        <w:keepLines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Cs/>
        </w:rPr>
        <w:t>Datum nabytí účinnosti se stanoví dnem 1. ledna 2019 tak, aby i od tohoto data bylo možné nadále vracení daně z minerálních olejů osobám užívajícím tyto oleje pro zemědělskou prvovýrobu a pro provádění hospodaření v lese podle stávající právní úpravy, kter</w:t>
      </w:r>
      <w:r>
        <w:rPr>
          <w:rFonts w:cs="Arial"/>
          <w:bCs/>
        </w:rPr>
        <w:t xml:space="preserve">á se pro současné potřeby zemědělské prvovýroby a pro hospodaření v lese osvědčila. </w:t>
      </w:r>
    </w:p>
    <w:p w:rsidR="00711E63" w:rsidRDefault="00711E63">
      <w:pPr>
        <w:keepNext/>
        <w:keepLines/>
        <w:ind w:firstLine="708"/>
        <w:jc w:val="both"/>
        <w:rPr>
          <w:rFonts w:cs="Arial"/>
          <w:bCs/>
        </w:rPr>
      </w:pPr>
    </w:p>
    <w:p w:rsidR="00711E63" w:rsidRDefault="00884ED6">
      <w:pPr>
        <w:keepNext/>
        <w:keepLines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Navrhovaná právní úprava nahradí pro současné potřeby zemědělské prvovýroby </w:t>
      </w:r>
      <w:r>
        <w:rPr>
          <w:rFonts w:cs="Arial"/>
          <w:bCs/>
        </w:rPr>
        <w:br/>
        <w:t>a hospodaření v lese méně vhodnou právní úpravu vracení daně z minerálních olejů osobám užíva</w:t>
      </w:r>
      <w:r>
        <w:rPr>
          <w:rFonts w:cs="Arial"/>
          <w:bCs/>
        </w:rPr>
        <w:t xml:space="preserve">jícím tyto oleje pro zemědělskou prvovýrobu a pro provádění hospodaření v lese uvedenou v čl. I bodě 3 zákona č. 453/2016 Sb., kterým se mění zákon č. 353/2003 Sb., </w:t>
      </w:r>
      <w:r>
        <w:rPr>
          <w:rFonts w:cs="Arial"/>
          <w:bCs/>
        </w:rPr>
        <w:br/>
        <w:t>o spotřebních daních, ve znění pozdějších předpisů, která má podle tohoto zákona nabýt úči</w:t>
      </w:r>
      <w:r>
        <w:rPr>
          <w:rFonts w:cs="Arial"/>
          <w:bCs/>
        </w:rPr>
        <w:t xml:space="preserve">nnosti dnem 1. ledna 2019.      </w:t>
      </w:r>
    </w:p>
    <w:p w:rsidR="00711E63" w:rsidRDefault="00711E63">
      <w:pPr>
        <w:pStyle w:val="Parlament"/>
        <w:tabs>
          <w:tab w:val="left" w:pos="360"/>
        </w:tabs>
        <w:spacing w:before="0" w:after="0"/>
        <w:jc w:val="center"/>
      </w:pPr>
      <w:bookmarkStart w:id="0" w:name="_Toc339285412"/>
      <w:bookmarkEnd w:id="0"/>
    </w:p>
    <w:p w:rsidR="00711E63" w:rsidRDefault="00711E63">
      <w:pPr>
        <w:pStyle w:val="Parlament"/>
        <w:tabs>
          <w:tab w:val="left" w:pos="360"/>
        </w:tabs>
        <w:spacing w:before="0" w:after="0"/>
        <w:jc w:val="center"/>
      </w:pPr>
    </w:p>
    <w:p w:rsidR="00711E63" w:rsidRDefault="00711E63">
      <w:pPr>
        <w:pStyle w:val="Parlament"/>
        <w:tabs>
          <w:tab w:val="left" w:pos="360"/>
        </w:tabs>
        <w:spacing w:before="0" w:after="0"/>
        <w:jc w:val="center"/>
      </w:pPr>
    </w:p>
    <w:p w:rsidR="00711E63" w:rsidRDefault="00884ED6">
      <w:pPr>
        <w:pStyle w:val="Parlament"/>
        <w:tabs>
          <w:tab w:val="left" w:pos="360"/>
        </w:tabs>
        <w:spacing w:before="0" w:after="0"/>
        <w:jc w:val="left"/>
      </w:pPr>
      <w:r>
        <w:rPr>
          <w:rFonts w:ascii="Arial" w:hAnsi="Arial" w:cs="Arial"/>
          <w:sz w:val="22"/>
          <w:szCs w:val="22"/>
        </w:rPr>
        <w:t>V Praze dne 25. května 2018</w:t>
      </w:r>
    </w:p>
    <w:p w:rsidR="00711E63" w:rsidRDefault="00711E63">
      <w:pPr>
        <w:rPr>
          <w:lang w:eastAsia="cs-CZ"/>
        </w:rPr>
      </w:pPr>
    </w:p>
    <w:p w:rsidR="00711E63" w:rsidRDefault="00711E63"/>
    <w:p w:rsidR="00711E63" w:rsidRDefault="00884ED6">
      <w:r>
        <w:t xml:space="preserve">Předkladatelé: </w:t>
      </w:r>
    </w:p>
    <w:p w:rsidR="00711E63" w:rsidRDefault="00884ED6">
      <w:r>
        <w:rPr>
          <w:lang w:eastAsia="cs-CZ"/>
        </w:rPr>
        <w:t xml:space="preserve">Pavel Kováčik, v.r.                                                          </w:t>
      </w:r>
      <w:r>
        <w:rPr>
          <w:lang w:eastAsia="cs-CZ"/>
        </w:rPr>
        <w:tab/>
      </w:r>
    </w:p>
    <w:p w:rsidR="00711E63" w:rsidRDefault="00884ED6">
      <w:r>
        <w:rPr>
          <w:lang w:eastAsia="cs-CZ"/>
        </w:rPr>
        <w:t>Josef Kott,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Jana Levová, v.r.</w:t>
      </w:r>
    </w:p>
    <w:p w:rsidR="00711E63" w:rsidRDefault="00884ED6">
      <w:r>
        <w:rPr>
          <w:lang w:eastAsia="cs-CZ"/>
        </w:rPr>
        <w:t>Karel Tureček,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Jiří Kohoutek, v.r.</w:t>
      </w:r>
    </w:p>
    <w:p w:rsidR="00711E63" w:rsidRDefault="00884ED6">
      <w:r>
        <w:rPr>
          <w:lang w:eastAsia="cs-CZ"/>
        </w:rPr>
        <w:t xml:space="preserve">Margita </w:t>
      </w:r>
      <w:r>
        <w:rPr>
          <w:lang w:eastAsia="cs-CZ"/>
        </w:rPr>
        <w:t>Balaštíková,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Radek Koten, v.r.</w:t>
      </w:r>
    </w:p>
    <w:p w:rsidR="00711E63" w:rsidRDefault="00884ED6">
      <w:r>
        <w:rPr>
          <w:lang w:eastAsia="cs-CZ"/>
        </w:rPr>
        <w:t>Pavel Plzák,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Tereza Hyťhová, v.r.</w:t>
      </w:r>
    </w:p>
    <w:p w:rsidR="00711E63" w:rsidRDefault="00884ED6">
      <w:r>
        <w:rPr>
          <w:lang w:eastAsia="cs-CZ"/>
        </w:rPr>
        <w:t>David Pražák,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Tomio Okamura, v.r.</w:t>
      </w:r>
    </w:p>
    <w:p w:rsidR="00711E63" w:rsidRDefault="00884ED6">
      <w:r>
        <w:rPr>
          <w:lang w:eastAsia="cs-CZ"/>
        </w:rPr>
        <w:t>Andrea Babišová,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Marian Jurečka, v.r.</w:t>
      </w:r>
    </w:p>
    <w:p w:rsidR="00711E63" w:rsidRDefault="00884ED6">
      <w:r>
        <w:rPr>
          <w:lang w:eastAsia="cs-CZ"/>
        </w:rPr>
        <w:t>Andrea Brzobohatá,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Jiří Běhounek, v.r.</w:t>
      </w:r>
    </w:p>
    <w:p w:rsidR="00711E63" w:rsidRDefault="00884ED6">
      <w:r>
        <w:rPr>
          <w:lang w:eastAsia="cs-CZ"/>
        </w:rPr>
        <w:t>Tomáš Kohoutek,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Jan Bi</w:t>
      </w:r>
      <w:r>
        <w:rPr>
          <w:lang w:eastAsia="cs-CZ"/>
        </w:rPr>
        <w:t>rke, v.r.</w:t>
      </w:r>
    </w:p>
    <w:p w:rsidR="00711E63" w:rsidRDefault="00884ED6">
      <w:r>
        <w:rPr>
          <w:lang w:eastAsia="cs-CZ"/>
        </w:rPr>
        <w:t>Jan Kubík, v.r.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Alena Gaj</w:t>
      </w:r>
      <w:bookmarkStart w:id="1" w:name="_GoBack1"/>
      <w:bookmarkEnd w:id="1"/>
      <w:r>
        <w:rPr>
          <w:lang w:eastAsia="cs-CZ"/>
        </w:rPr>
        <w:t>důšková, v.r.</w:t>
      </w:r>
    </w:p>
    <w:p w:rsidR="00711E63" w:rsidRDefault="00884ED6">
      <w:r>
        <w:rPr>
          <w:lang w:eastAsia="cs-CZ"/>
        </w:rPr>
        <w:t>Jan Volný, v.r.</w:t>
      </w:r>
    </w:p>
    <w:p w:rsidR="00711E63" w:rsidRDefault="00884ED6">
      <w:r>
        <w:rPr>
          <w:lang w:eastAsia="cs-CZ"/>
        </w:rPr>
        <w:t>Jaroslav Faltýnek, v.r.</w:t>
      </w:r>
    </w:p>
    <w:p w:rsidR="00711E63" w:rsidRDefault="00884ED6">
      <w:r>
        <w:rPr>
          <w:lang w:eastAsia="cs-CZ"/>
        </w:rPr>
        <w:t>Miloslav Janulík, v.r.</w:t>
      </w:r>
    </w:p>
    <w:p w:rsidR="00711E63" w:rsidRDefault="00884ED6">
      <w:r>
        <w:rPr>
          <w:lang w:eastAsia="cs-CZ"/>
        </w:rPr>
        <w:t>Jana Pastuchová, v.r.</w:t>
      </w:r>
    </w:p>
    <w:p w:rsidR="00711E63" w:rsidRDefault="00884ED6">
      <w:r>
        <w:rPr>
          <w:lang w:eastAsia="cs-CZ"/>
        </w:rPr>
        <w:t>Jaroslav Bžoch, v.r.</w:t>
      </w:r>
    </w:p>
    <w:p w:rsidR="00711E63" w:rsidRDefault="00884ED6">
      <w:r>
        <w:rPr>
          <w:lang w:eastAsia="cs-CZ"/>
        </w:rPr>
        <w:t>Pavel Pustějovský, v.r.</w:t>
      </w:r>
    </w:p>
    <w:p w:rsidR="00711E63" w:rsidRDefault="00884ED6">
      <w:r>
        <w:rPr>
          <w:lang w:eastAsia="cs-CZ"/>
        </w:rPr>
        <w:t>Monika Oborná, v.r.</w:t>
      </w:r>
    </w:p>
    <w:p w:rsidR="00711E63" w:rsidRDefault="00884ED6">
      <w:r>
        <w:rPr>
          <w:lang w:eastAsia="cs-CZ"/>
        </w:rPr>
        <w:t>Jan Richter, v.r.</w:t>
      </w:r>
    </w:p>
    <w:p w:rsidR="00711E63" w:rsidRDefault="00884ED6">
      <w:r>
        <w:rPr>
          <w:lang w:eastAsia="cs-CZ"/>
        </w:rPr>
        <w:t>Zdeněk Podal, v.r.</w:t>
      </w:r>
    </w:p>
    <w:p w:rsidR="00711E63" w:rsidRDefault="00884ED6">
      <w:r>
        <w:rPr>
          <w:lang w:eastAsia="cs-CZ"/>
        </w:rPr>
        <w:t xml:space="preserve">Radim Fiala, </w:t>
      </w:r>
      <w:r>
        <w:rPr>
          <w:lang w:eastAsia="cs-CZ"/>
        </w:rPr>
        <w:t>v.r.</w:t>
      </w:r>
    </w:p>
    <w:p w:rsidR="00711E63" w:rsidRDefault="00884ED6">
      <w:r>
        <w:rPr>
          <w:lang w:eastAsia="cs-CZ"/>
        </w:rPr>
        <w:t>Karla Maříková, v.r.</w:t>
      </w:r>
    </w:p>
    <w:p w:rsidR="00711E63" w:rsidRDefault="00884ED6">
      <w:r>
        <w:rPr>
          <w:rFonts w:cs="Arial"/>
          <w:lang w:eastAsia="cs-CZ"/>
        </w:rPr>
        <w:t>Pavel Jelínek, v.r.</w:t>
      </w:r>
      <w:bookmarkStart w:id="2" w:name="_GoBack"/>
      <w:bookmarkEnd w:id="2"/>
    </w:p>
    <w:sectPr w:rsidR="00711E6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4ED6">
      <w:r>
        <w:separator/>
      </w:r>
    </w:p>
  </w:endnote>
  <w:endnote w:type="continuationSeparator" w:id="0">
    <w:p w:rsidR="00000000" w:rsidRDefault="008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673"/>
      <w:docPartObj>
        <w:docPartGallery w:val="Page Numbers (Bottom of Page)"/>
        <w:docPartUnique/>
      </w:docPartObj>
    </w:sdtPr>
    <w:sdtEndPr/>
    <w:sdtContent>
      <w:p w:rsidR="00711E63" w:rsidRDefault="00884ED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11E63" w:rsidRDefault="00711E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4ED6">
      <w:r>
        <w:separator/>
      </w:r>
    </w:p>
  </w:footnote>
  <w:footnote w:type="continuationSeparator" w:id="0">
    <w:p w:rsidR="00000000" w:rsidRDefault="0088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F08"/>
    <w:multiLevelType w:val="multilevel"/>
    <w:tmpl w:val="5EAC6854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1">
    <w:nsid w:val="1A6124B8"/>
    <w:multiLevelType w:val="multilevel"/>
    <w:tmpl w:val="C9765AA6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2">
    <w:nsid w:val="2076199F"/>
    <w:multiLevelType w:val="multilevel"/>
    <w:tmpl w:val="57863912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2A0F2AB4"/>
    <w:multiLevelType w:val="multilevel"/>
    <w:tmpl w:val="E12025CE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4">
    <w:nsid w:val="4E1664BB"/>
    <w:multiLevelType w:val="multilevel"/>
    <w:tmpl w:val="31224D4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FC6950"/>
    <w:multiLevelType w:val="multilevel"/>
    <w:tmpl w:val="C0D2D56A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6">
    <w:nsid w:val="4EFD7476"/>
    <w:multiLevelType w:val="multilevel"/>
    <w:tmpl w:val="2E887A02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7">
    <w:nsid w:val="514625BB"/>
    <w:multiLevelType w:val="multilevel"/>
    <w:tmpl w:val="4C2A6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D67796"/>
    <w:multiLevelType w:val="multilevel"/>
    <w:tmpl w:val="3030FB48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9">
    <w:nsid w:val="58D7735D"/>
    <w:multiLevelType w:val="multilevel"/>
    <w:tmpl w:val="043246B2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10">
    <w:nsid w:val="5AAB19EB"/>
    <w:multiLevelType w:val="multilevel"/>
    <w:tmpl w:val="1C0A0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11A7D81"/>
    <w:multiLevelType w:val="multilevel"/>
    <w:tmpl w:val="3BD4AB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4D2125"/>
    <w:multiLevelType w:val="multilevel"/>
    <w:tmpl w:val="5DE6B8F0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abstractNum w:abstractNumId="13">
    <w:nsid w:val="78680905"/>
    <w:multiLevelType w:val="multilevel"/>
    <w:tmpl w:val="6642704C"/>
    <w:lvl w:ilvl="0">
      <w:start w:val="1"/>
      <w:numFmt w:val="decimal"/>
      <w:lvlText w:val="%1"/>
      <w:lvlJc w:val="left"/>
      <w:pPr>
        <w:ind w:left="0" w:firstLine="425"/>
      </w:pPr>
    </w:lvl>
    <w:lvl w:ilvl="1">
      <w:start w:val="1"/>
      <w:numFmt w:val="lowerLetter"/>
      <w:lvlText w:val="%2"/>
      <w:lvlJc w:val="left"/>
      <w:pPr>
        <w:ind w:left="425" w:hanging="425"/>
      </w:pPr>
    </w:lvl>
    <w:lvl w:ilvl="2">
      <w:start w:val="1"/>
      <w:numFmt w:val="decimal"/>
      <w:lvlText w:val="%3"/>
      <w:lvlJc w:val="left"/>
      <w:pPr>
        <w:ind w:left="850" w:hanging="425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0" w:firstLine="425"/>
      </w:pPr>
    </w:lvl>
    <w:lvl w:ilvl="7">
      <w:start w:val="1"/>
      <w:numFmt w:val="lowerLetter"/>
      <w:lvlText w:val="%8"/>
      <w:lvlJc w:val="left"/>
      <w:pPr>
        <w:ind w:left="425" w:hanging="425"/>
      </w:pPr>
    </w:lvl>
    <w:lvl w:ilvl="8">
      <w:start w:val="1"/>
      <w:numFmt w:val="decimal"/>
      <w:lvlText w:val="%9"/>
      <w:lvlJc w:val="left"/>
      <w:pPr>
        <w:ind w:left="851" w:hanging="426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3"/>
    <w:rsid w:val="00711E63"/>
    <w:rsid w:val="008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6C19-0381-404C-BD26-4FBF3A2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uppressAutoHyphens/>
      <w:spacing w:line="240" w:lineRule="auto"/>
    </w:pPr>
    <w:rPr>
      <w:rFonts w:ascii="Arial" w:hAnsi="Arial"/>
    </w:rPr>
  </w:style>
  <w:style w:type="paragraph" w:styleId="Nadpis1">
    <w:name w:val="heading 1"/>
    <w:basedOn w:val="Normln"/>
    <w:link w:val="Nadpis1Char"/>
    <w:qFormat/>
    <w:rsid w:val="005E246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5E246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24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5E2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5E2460"/>
    <w:rPr>
      <w:rFonts w:ascii="Calibri" w:eastAsia="Calibri" w:hAnsi="Calibri" w:cs="Times New Roman"/>
    </w:rPr>
  </w:style>
  <w:style w:type="character" w:customStyle="1" w:styleId="TextodstavceChar">
    <w:name w:val="Text odstavce Char"/>
    <w:link w:val="Textodstavce"/>
    <w:rsid w:val="001772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1772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9C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9CC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9CC"/>
    <w:rPr>
      <w:rFonts w:ascii="Arial" w:hAnsi="Arial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143DA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2143DA"/>
    <w:rPr>
      <w:rFonts w:ascii="Arial" w:hAnsi="Ari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dstavecseseznamem">
    <w:name w:val="List Paragraph"/>
    <w:basedOn w:val="Normln"/>
    <w:uiPriority w:val="34"/>
    <w:qFormat/>
    <w:rsid w:val="005E24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lament">
    <w:name w:val="Parlament"/>
    <w:basedOn w:val="Normln"/>
    <w:rsid w:val="005E2460"/>
    <w:pPr>
      <w:keepNext/>
      <w:keepLines/>
      <w:spacing w:before="360" w:after="2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funkce">
    <w:name w:val="funkce"/>
    <w:basedOn w:val="Normln"/>
    <w:rsid w:val="005E2460"/>
    <w:pPr>
      <w:keepLines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azentlatextu">
    <w:name w:val="Odsazení těla textu"/>
    <w:basedOn w:val="Normln"/>
    <w:link w:val="ZkladntextodsazenChar"/>
    <w:semiHidden/>
    <w:unhideWhenUsed/>
    <w:rsid w:val="005E2460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ln"/>
    <w:rsid w:val="00177258"/>
    <w:pPr>
      <w:keepNext/>
      <w:keepLines/>
      <w:spacing w:before="240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77258"/>
    <w:pPr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177258"/>
    <w:pPr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177258"/>
    <w:p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rsid w:val="00177258"/>
    <w:rPr>
      <w:b/>
    </w:rPr>
  </w:style>
  <w:style w:type="paragraph" w:customStyle="1" w:styleId="Textlnku">
    <w:name w:val="Text článku"/>
    <w:basedOn w:val="Normln"/>
    <w:rsid w:val="00BF1216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216"/>
    <w:rPr>
      <w:rFonts w:ascii="Tahoma" w:hAnsi="Tahoma" w:cs="Tahoma"/>
      <w:sz w:val="16"/>
      <w:szCs w:val="16"/>
    </w:rPr>
  </w:style>
  <w:style w:type="paragraph" w:customStyle="1" w:styleId="Hlava">
    <w:name w:val="Hlava"/>
    <w:basedOn w:val="Normln"/>
    <w:rsid w:val="00A77ACF"/>
    <w:pPr>
      <w:keepNext/>
      <w:keepLines/>
      <w:spacing w:before="24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C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669C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143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143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C93-7D4F-414C-A673-80523A0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3914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Pavel</dc:creator>
  <cp:lastModifiedBy>Kateřina Tumová</cp:lastModifiedBy>
  <cp:revision>8</cp:revision>
  <cp:lastPrinted>2018-05-24T13:02:00Z</cp:lastPrinted>
  <dcterms:created xsi:type="dcterms:W3CDTF">2018-04-26T04:18:00Z</dcterms:created>
  <dcterms:modified xsi:type="dcterms:W3CDTF">2018-05-24T13:03:00Z</dcterms:modified>
  <dc:language>cs-CZ</dc:language>
</cp:coreProperties>
</file>